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framePr w:wrap="around" w:hAnchor="page" w:x="7126" w:y="14116"/>
      </w:pPr>
      <w:bookmarkStart w:id="0" w:name="SectionMark0"/>
      <w:bookmarkStart w:id="1" w:name="_Toc475018755"/>
      <w:bookmarkStart w:id="2" w:name="_Toc477422173"/>
      <w:bookmarkStart w:id="3" w:name="_Toc477178885"/>
      <w:bookmarkStart w:id="4" w:name="_Toc471480464"/>
      <w:bookmarkStart w:id="5" w:name="_Toc471480298"/>
      <w:r>
        <mc:AlternateContent>
          <mc:Choice Requires="wps">
            <w:drawing>
              <wp:anchor distT="0" distB="0" distL="114300" distR="114300" simplePos="0" relativeHeight="251668480" behindDoc="0" locked="1" layoutInCell="1" allowOverlap="1">
                <wp:simplePos x="0" y="0"/>
                <wp:positionH relativeFrom="margin">
                  <wp:posOffset>-559435</wp:posOffset>
                </wp:positionH>
                <wp:positionV relativeFrom="margin">
                  <wp:posOffset>-8828405</wp:posOffset>
                </wp:positionV>
                <wp:extent cx="2312035" cy="705485"/>
                <wp:effectExtent l="0" t="0" r="12065" b="5715"/>
                <wp:wrapNone/>
                <wp:docPr id="16" name="文本框 16"/>
                <wp:cNvGraphicFramePr/>
                <a:graphic xmlns:a="http://schemas.openxmlformats.org/drawingml/2006/main">
                  <a:graphicData uri="http://schemas.microsoft.com/office/word/2010/wordprocessingShape">
                    <wps:wsp>
                      <wps:cNvSpPr txBox="1"/>
                      <wps:spPr>
                        <a:xfrm>
                          <a:off x="0" y="0"/>
                          <a:ext cx="2312035" cy="705485"/>
                        </a:xfrm>
                        <a:prstGeom prst="rect">
                          <a:avLst/>
                        </a:prstGeom>
                        <a:solidFill>
                          <a:srgbClr val="FFFFFF"/>
                        </a:solidFill>
                        <a:ln>
                          <a:noFill/>
                        </a:ln>
                      </wps:spPr>
                      <wps:txbx>
                        <w:txbxContent>
                          <w:p>
                            <w:pPr>
                              <w:rPr>
                                <w:sz w:val="96"/>
                                <w:szCs w:val="96"/>
                              </w:rPr>
                            </w:pPr>
                            <w:r>
                              <w:rPr>
                                <w:sz w:val="96"/>
                                <w:szCs w:val="96"/>
                              </w:rPr>
                              <w:t>T/CFCA</w:t>
                            </w:r>
                          </w:p>
                        </w:txbxContent>
                      </wps:txbx>
                      <wps:bodyPr lIns="0" tIns="0" rIns="0" bIns="0" upright="1"/>
                    </wps:wsp>
                  </a:graphicData>
                </a:graphic>
              </wp:anchor>
            </w:drawing>
          </mc:Choice>
          <mc:Fallback>
            <w:pict>
              <v:shape id="_x0000_s1026" o:spid="_x0000_s1026" o:spt="202" type="#_x0000_t202" style="position:absolute;left:0pt;margin-left:-44.05pt;margin-top:-695.15pt;height:55.55pt;width:182.05pt;mso-position-horizontal-relative:margin;mso-position-vertical-relative:margin;z-index:251668480;mso-width-relative:page;mso-height-relative:page;" fillcolor="#FFFFFF" filled="t" stroked="f" coordsize="21600,21600" o:gfxdata="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BjD&#10;hAzdAAAADwEAAA8AAAAAAAAAAQAgAAAAOAAAAGRycy9kb3ducmV2LnhtbFBLAQIUABQAAAAIAIdO&#10;4kB+tBr6zwEAAJ0DAAAOAAAAAAAAAAEAIAAAAEIBAABkcnMvZTJvRG9jLnhtbFBLBQYAAAAABgAG&#10;AFkBAACDBQAAAAA=&#10;">
                <v:fill on="t" focussize="0,0"/>
                <v:stroke on="f"/>
                <v:imagedata o:title=""/>
                <o:lock v:ext="edit" aspectratio="f"/>
                <v:textbox inset="0mm,0mm,0mm,0mm">
                  <w:txbxContent>
                    <w:p>
                      <w:pPr>
                        <w:rPr>
                          <w:sz w:val="96"/>
                          <w:szCs w:val="96"/>
                        </w:rPr>
                      </w:pPr>
                      <w:r>
                        <w:rPr>
                          <w:sz w:val="96"/>
                          <w:szCs w:val="96"/>
                        </w:rPr>
                        <w:t>T/CFCA</w:t>
                      </w:r>
                    </w:p>
                  </w:txbxContent>
                </v:textbox>
                <w10:anchorlock/>
              </v:shape>
            </w:pict>
          </mc:Fallback>
        </mc:AlternateContent>
      </w:r>
    </w:p>
    <w:p>
      <w:pPr>
        <w:pStyle w:val="13"/>
        <w:rPr>
          <w:color w:val="000000"/>
        </w:rPr>
        <w:sectPr>
          <w:headerReference r:id="rId3" w:type="default"/>
          <w:footerReference r:id="rId5" w:type="default"/>
          <w:headerReference r:id="rId4" w:type="even"/>
          <w:footerReference r:id="rId6" w:type="even"/>
          <w:pgSz w:w="11907" w:h="16839"/>
          <w:pgMar w:top="567" w:right="851" w:bottom="1361"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7456" behindDoc="0" locked="1" layoutInCell="1" allowOverlap="1">
                <wp:simplePos x="0" y="0"/>
                <wp:positionH relativeFrom="margin">
                  <wp:posOffset>4560570</wp:posOffset>
                </wp:positionH>
                <wp:positionV relativeFrom="margin">
                  <wp:posOffset>8656955</wp:posOffset>
                </wp:positionV>
                <wp:extent cx="1651000" cy="312420"/>
                <wp:effectExtent l="0" t="0" r="0" b="5080"/>
                <wp:wrapNone/>
                <wp:docPr id="15" name="文本框 15"/>
                <wp:cNvGraphicFramePr/>
                <a:graphic xmlns:a="http://schemas.openxmlformats.org/drawingml/2006/main">
                  <a:graphicData uri="http://schemas.microsoft.com/office/word/2010/wordprocessingShape">
                    <wps:wsp>
                      <wps:cNvSpPr txBox="1"/>
                      <wps:spPr>
                        <a:xfrm>
                          <a:off x="0" y="0"/>
                          <a:ext cx="1651000" cy="312420"/>
                        </a:xfrm>
                        <a:prstGeom prst="rect">
                          <a:avLst/>
                        </a:prstGeom>
                        <a:solidFill>
                          <a:srgbClr val="FFFFFF"/>
                        </a:solidFill>
                        <a:ln>
                          <a:noFill/>
                        </a:ln>
                      </wps:spPr>
                      <wps:txbx>
                        <w:txbxContent>
                          <w:p>
                            <w:pPr>
                              <w:pStyle w:val="11"/>
                              <w:ind w:right="560"/>
                              <w:jc w:val="both"/>
                            </w:pPr>
                            <w:r>
                              <w:t>202</w:t>
                            </w:r>
                            <w:r>
                              <w:rPr>
                                <w:rFonts w:hint="eastAsia"/>
                              </w:rPr>
                              <w:t>3</w:t>
                            </w:r>
                            <w:r>
                              <w:t xml:space="preserve">-xx-xx </w:t>
                            </w:r>
                            <w:r>
                              <w:rPr>
                                <w:rFonts w:hint="eastAsia"/>
                              </w:rPr>
                              <w:t>实施</w:t>
                            </w:r>
                          </w:p>
                        </w:txbxContent>
                      </wps:txbx>
                      <wps:bodyPr lIns="0" tIns="0" rIns="0" bIns="0" upright="1"/>
                    </wps:wsp>
                  </a:graphicData>
                </a:graphic>
              </wp:anchor>
            </w:drawing>
          </mc:Choice>
          <mc:Fallback>
            <w:pict>
              <v:shape id="_x0000_s1026" o:spid="_x0000_s1026" o:spt="202" type="#_x0000_t202" style="position:absolute;left:0pt;margin-left:359.1pt;margin-top:681.65pt;height:24.6pt;width:130pt;mso-position-horizontal-relative:margin;mso-position-vertical-relative:margin;z-index:251667456;mso-width-relative:page;mso-height-relative:page;" fillcolor="#FFFFFF" filled="t" stroked="f" coordsize="21600,21600" o:gfxdata="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CejcoI&#10;2wAAAA0BAAAPAAAAAAAAAAEAIAAAADgAAABkcnMvZG93bnJldi54bWxQSwECFAAUAAAACACHTuJA&#10;cZIrRM8BAACdAwAADgAAAAAAAAABACAAAABAAQAAZHJzL2Uyb0RvYy54bWxQSwUGAAAAAAYABgBZ&#10;AQAAgQUAAAAA&#10;">
                <v:fill on="t" focussize="0,0"/>
                <v:stroke on="f"/>
                <v:imagedata o:title=""/>
                <o:lock v:ext="edit" aspectratio="f"/>
                <v:textbox inset="0mm,0mm,0mm,0mm">
                  <w:txbxContent>
                    <w:p>
                      <w:pPr>
                        <w:pStyle w:val="11"/>
                        <w:ind w:right="560"/>
                        <w:jc w:val="both"/>
                      </w:pPr>
                      <w:r>
                        <w:t>202</w:t>
                      </w:r>
                      <w:r>
                        <w:rPr>
                          <w:rFonts w:hint="eastAsia"/>
                        </w:rPr>
                        <w:t>3</w:t>
                      </w:r>
                      <w:r>
                        <w:t xml:space="preserve">-xx-xx </w:t>
                      </w:r>
                      <w:r>
                        <w:rPr>
                          <w:rFonts w:hint="eastAsia"/>
                        </w:rPr>
                        <w:t>实施</w:t>
                      </w:r>
                    </w:p>
                  </w:txbxContent>
                </v:textbox>
                <w10:anchorlock/>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14605</wp:posOffset>
                </wp:positionH>
                <wp:positionV relativeFrom="paragraph">
                  <wp:posOffset>2277745</wp:posOffset>
                </wp:positionV>
                <wp:extent cx="6121400" cy="0"/>
                <wp:effectExtent l="0" t="6350" r="0" b="6350"/>
                <wp:wrapNone/>
                <wp:docPr id="14"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_x0000_s1026" o:spid="_x0000_s1026" o:spt="20" style="position:absolute;left:0pt;margin-left:1.15pt;margin-top:179.35pt;height:0pt;width:482pt;z-index:251661312;mso-width-relative:page;mso-height-relative:page;" filled="f" stroked="t" coordsize="21600,21600" o:gfxdata="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73wmItgAAAAJAQAADwAAAAAAAAABACAAAAA4AAAAZHJz&#10;L2Rvd25yZXYueG1sUEsBAhQAFAAAAAgAh07iQIcXSBruAQAA2wMAAA4AAAAAAAAAAQAgAAAAPQEA&#10;AGRycy9lMm9Eb2MueG1sUEsFBgAAAAAGAAYAWQEAAJ0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9204325</wp:posOffset>
                </wp:positionV>
                <wp:extent cx="6120130" cy="363220"/>
                <wp:effectExtent l="0" t="0" r="1270" b="5080"/>
                <wp:wrapNone/>
                <wp:docPr id="13" name="文本框 13"/>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23"/>
                            </w:pPr>
                            <w:r>
                              <w:rPr>
                                <w:rFonts w:hint="eastAsia"/>
                                <w:sz w:val="36"/>
                                <w:szCs w:val="36"/>
                              </w:rPr>
                              <w:t>中国副食流通协会</w:t>
                            </w:r>
                            <w:r>
                              <w:rPr>
                                <w:rStyle w:val="25"/>
                                <w:rFonts w:hint="eastAsia"/>
                                <w:szCs w:val="28"/>
                              </w:rPr>
                              <w:t>发布</w:t>
                            </w:r>
                          </w:p>
                        </w:txbxContent>
                      </wps:txbx>
                      <wps:bodyPr lIns="0" tIns="0" rIns="0" bIns="0" upright="1"/>
                    </wps:wsp>
                  </a:graphicData>
                </a:graphic>
              </wp:anchor>
            </w:drawing>
          </mc:Choice>
          <mc:Fallback>
            <w:pict>
              <v:shape id="_x0000_s1026" o:spid="_x0000_s1026" o:spt="202" type="#_x0000_t202" style="position:absolute;left:0pt;margin-left:0pt;margin-top:724.75pt;height:28.6pt;width:481.9pt;mso-position-horizontal-relative:margin;mso-position-vertical-relative:margin;z-index:251666432;mso-width-relative:page;mso-height-relative:page;" fillcolor="#FFFFFF" filled="t" stroked="f" coordsize="21600,21600" o:gfxdata="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AY5BKx2QAA&#10;AAoBAAAPAAAAAAAAAAEAIAAAADgAAABkcnMvZG93bnJldi54bWxQSwECFAAUAAAACACHTuJAM2Pq&#10;T84BAACdAwAADgAAAAAAAAABACAAAAA+AQAAZHJzL2Uyb0RvYy54bWxQSwUGAAAAAAYABgBZAQAA&#10;fgUAAAAA&#10;">
                <v:fill on="t" focussize="0,0"/>
                <v:stroke on="f"/>
                <v:imagedata o:title=""/>
                <o:lock v:ext="edit" aspectratio="f"/>
                <v:textbox inset="0mm,0mm,0mm,0mm">
                  <w:txbxContent>
                    <w:p>
                      <w:pPr>
                        <w:pStyle w:val="23"/>
                      </w:pPr>
                      <w:r>
                        <w:rPr>
                          <w:rFonts w:hint="eastAsia"/>
                          <w:sz w:val="36"/>
                          <w:szCs w:val="36"/>
                        </w:rPr>
                        <w:t>中国副食流通协会</w:t>
                      </w:r>
                      <w:r>
                        <w:rPr>
                          <w:rStyle w:val="25"/>
                          <w:rFonts w:hint="eastAsia"/>
                          <w:szCs w:val="28"/>
                        </w:rPr>
                        <w:t>发布</w:t>
                      </w:r>
                    </w:p>
                  </w:txbxContent>
                </v:textbox>
                <w10:anchorlock/>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14605</wp:posOffset>
                </wp:positionH>
                <wp:positionV relativeFrom="paragraph">
                  <wp:posOffset>9053195</wp:posOffset>
                </wp:positionV>
                <wp:extent cx="6121400" cy="0"/>
                <wp:effectExtent l="0" t="6350" r="0" b="6350"/>
                <wp:wrapNone/>
                <wp:docPr id="12" name="直接连接符 1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_x0000_s1026" o:spid="_x0000_s1026" o:spt="20" style="position:absolute;left:0pt;margin-left:1.15pt;margin-top:712.85pt;height:0pt;width:482pt;z-index:251665408;mso-width-relative:page;mso-height-relative:page;" filled="f" stroked="t" coordsize="21600,21600" o:gfxdata="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HkTGVdcAAAALAQAADwAAAAAAAAABACAAAAA4AAAAZHJzL2Rv&#10;d25yZXYueG1sUEsBAhQAFAAAAAgAh07iQLTV5F3sAQAA2wMAAA4AAAAAAAAAAQAgAAAAPAEAAGRy&#10;cy9lMm9Eb2MueG1sUEsFBgAAAAAGAAYAWQEAAJo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4629785</wp:posOffset>
                </wp:positionH>
                <wp:positionV relativeFrom="margin">
                  <wp:posOffset>8597265</wp:posOffset>
                </wp:positionV>
                <wp:extent cx="1685925" cy="312420"/>
                <wp:effectExtent l="0" t="0" r="3175" b="5080"/>
                <wp:wrapNone/>
                <wp:docPr id="11" name="文本框 11"/>
                <wp:cNvGraphicFramePr/>
                <a:graphic xmlns:a="http://schemas.openxmlformats.org/drawingml/2006/main">
                  <a:graphicData uri="http://schemas.microsoft.com/office/word/2010/wordprocessingShape">
                    <wps:wsp>
                      <wps:cNvSpPr txBox="1"/>
                      <wps:spPr>
                        <a:xfrm>
                          <a:off x="0" y="0"/>
                          <a:ext cx="1685925" cy="312420"/>
                        </a:xfrm>
                        <a:prstGeom prst="rect">
                          <a:avLst/>
                        </a:prstGeom>
                        <a:solidFill>
                          <a:srgbClr val="FFFFFF"/>
                        </a:solidFill>
                        <a:ln>
                          <a:noFill/>
                        </a:ln>
                      </wps:spPr>
                      <wps:txbx>
                        <w:txbxContent>
                          <w:p>
                            <w:pPr>
                              <w:pStyle w:val="11"/>
                              <w:spacing w:before="312" w:after="312"/>
                              <w:ind w:right="560"/>
                              <w:jc w:val="both"/>
                            </w:pPr>
                            <w:r>
                              <w:t xml:space="preserve">2016-xx-xx </w:t>
                            </w:r>
                            <w:r>
                              <w:rPr>
                                <w:rFonts w:hint="eastAsia"/>
                              </w:rPr>
                              <w:t>实施</w:t>
                            </w:r>
                          </w:p>
                        </w:txbxContent>
                      </wps:txbx>
                      <wps:bodyPr lIns="0" tIns="0" rIns="0" bIns="0" upright="1"/>
                    </wps:wsp>
                  </a:graphicData>
                </a:graphic>
              </wp:anchor>
            </w:drawing>
          </mc:Choice>
          <mc:Fallback>
            <w:pict>
              <v:shape id="_x0000_s1026" o:spid="_x0000_s1026" o:spt="202" type="#_x0000_t202" style="position:absolute;left:0pt;margin-left:364.55pt;margin-top:676.95pt;height:24.6pt;width:132.75pt;mso-position-horizontal-relative:margin;mso-position-vertical-relative:margin;z-index:251663360;mso-width-relative:page;mso-height-relative:page;" fillcolor="#FFFFFF" filled="t" stroked="f" coordsize="21600,21600" o:gfxdata="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FgAAAGRycy9QSwECFAAUAAAACACHTuJAhH3+&#10;F9sAAAANAQAADwAAAAAAAAABACAAAAA4AAAAZHJzL2Rvd25yZXYueG1sUEsBAhQAFAAAAAgAh07i&#10;QGzupQnQAQAAnQMAAA4AAAAAAAAAAQAgAAAAQAEAAGRycy9lMm9Eb2MueG1sUEsFBgAAAAAGAAYA&#10;WQEAAIIFAAAAAA==&#10;">
                <v:fill on="t" focussize="0,0"/>
                <v:stroke on="f"/>
                <v:imagedata o:title=""/>
                <o:lock v:ext="edit" aspectratio="f"/>
                <v:textbox inset="0mm,0mm,0mm,0mm">
                  <w:txbxContent>
                    <w:p>
                      <w:pPr>
                        <w:pStyle w:val="11"/>
                        <w:spacing w:before="312" w:after="312"/>
                        <w:ind w:right="560"/>
                        <w:jc w:val="both"/>
                      </w:pPr>
                      <w:r>
                        <w:t xml:space="preserve">2016-xx-xx </w:t>
                      </w:r>
                      <w:r>
                        <w:rPr>
                          <w:rFonts w:hint="eastAsia"/>
                        </w:rPr>
                        <w:t>实施</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33655</wp:posOffset>
                </wp:positionH>
                <wp:positionV relativeFrom="margin">
                  <wp:posOffset>8635365</wp:posOffset>
                </wp:positionV>
                <wp:extent cx="2019300" cy="312420"/>
                <wp:effectExtent l="0" t="0" r="0" b="5080"/>
                <wp:wrapNone/>
                <wp:docPr id="10" name="文本框 10"/>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12"/>
                            </w:pPr>
                            <w:r>
                              <w:t>202</w:t>
                            </w:r>
                            <w:r>
                              <w:rPr>
                                <w:rFonts w:hint="eastAsia"/>
                              </w:rPr>
                              <w:t>3</w:t>
                            </w:r>
                            <w:r>
                              <w:t>-xx-xx</w:t>
                            </w:r>
                            <w:r>
                              <w:rPr>
                                <w:rFonts w:hint="eastAsia"/>
                              </w:rPr>
                              <w:t>发布</w:t>
                            </w:r>
                          </w:p>
                        </w:txbxContent>
                      </wps:txbx>
                      <wps:bodyPr lIns="0" tIns="0" rIns="0" bIns="0" upright="1"/>
                    </wps:wsp>
                  </a:graphicData>
                </a:graphic>
              </wp:anchor>
            </w:drawing>
          </mc:Choice>
          <mc:Fallback>
            <w:pict>
              <v:shape id="_x0000_s1026" o:spid="_x0000_s1026" o:spt="202" type="#_x0000_t202" style="position:absolute;left:0pt;margin-left:2.65pt;margin-top:679.95pt;height:24.6pt;width:159pt;mso-position-horizontal-relative:margin;mso-position-vertical-relative:margin;z-index:251662336;mso-width-relative:page;mso-height-relative:page;" fillcolor="#FFFFFF" filled="t" stroked="f" coordsize="21600,21600" o:gfxdata="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CJY76t2QAA&#10;AAsBAAAPAAAAAAAAAAEAIAAAADgAAABkcnMvZG93bnJldi54bWxQSwECFAAUAAAACACHTuJAsikP&#10;6M4BAACdAwAADgAAAAAAAAABACAAAAA+AQAAZHJzL2Uyb0RvYy54bWxQSwUGAAAAAAYABgBZAQAA&#10;fgUAAAAA&#10;">
                <v:fill on="t" focussize="0,0"/>
                <v:stroke on="f"/>
                <v:imagedata o:title=""/>
                <o:lock v:ext="edit" aspectratio="f"/>
                <v:textbox inset="0mm,0mm,0mm,0mm">
                  <w:txbxContent>
                    <w:p>
                      <w:pPr>
                        <w:pStyle w:val="12"/>
                      </w:pPr>
                      <w:r>
                        <w:t>202</w:t>
                      </w:r>
                      <w:r>
                        <w:rPr>
                          <w:rFonts w:hint="eastAsia"/>
                        </w:rPr>
                        <w:t>3</w:t>
                      </w:r>
                      <w:r>
                        <w:t>-xx-xx</w:t>
                      </w:r>
                      <w:r>
                        <w:rPr>
                          <w:rFonts w:hint="eastAsia"/>
                        </w:rPr>
                        <w:t>发布</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1229995</wp:posOffset>
                </wp:positionV>
                <wp:extent cx="6000750" cy="810260"/>
                <wp:effectExtent l="0" t="0" r="6350" b="2540"/>
                <wp:wrapNone/>
                <wp:docPr id="9" name="文本框 9"/>
                <wp:cNvGraphicFramePr/>
                <a:graphic xmlns:a="http://schemas.openxmlformats.org/drawingml/2006/main">
                  <a:graphicData uri="http://schemas.microsoft.com/office/word/2010/wordprocessingShape">
                    <wps:wsp>
                      <wps:cNvSpPr txBox="1"/>
                      <wps:spPr>
                        <a:xfrm>
                          <a:off x="0" y="0"/>
                          <a:ext cx="6000750" cy="810260"/>
                        </a:xfrm>
                        <a:prstGeom prst="rect">
                          <a:avLst/>
                        </a:prstGeom>
                        <a:solidFill>
                          <a:srgbClr val="FFFFFF"/>
                        </a:solidFill>
                        <a:ln>
                          <a:noFill/>
                        </a:ln>
                      </wps:spPr>
                      <wps:txbx>
                        <w:txbxContent>
                          <w:p>
                            <w:pPr>
                              <w:pStyle w:val="26"/>
                              <w:rPr>
                                <w:szCs w:val="48"/>
                              </w:rPr>
                            </w:pPr>
                            <w:r>
                              <w:rPr>
                                <w:rFonts w:hint="eastAsia"/>
                                <w:szCs w:val="48"/>
                              </w:rPr>
                              <w:t>团体标准</w:t>
                            </w:r>
                          </w:p>
                          <w:p>
                            <w:pPr>
                              <w:pStyle w:val="27"/>
                            </w:pPr>
                            <w:r>
                              <w:t>T/CFCA 0006—202</w:t>
                            </w:r>
                            <w:r>
                              <w:rPr>
                                <w:rFonts w:hint="eastAsia"/>
                              </w:rPr>
                              <w:t>3</w:t>
                            </w:r>
                          </w:p>
                          <w:p>
                            <w:pPr>
                              <w:pStyle w:val="26"/>
                              <w:rPr>
                                <w:szCs w:val="48"/>
                              </w:rPr>
                            </w:pPr>
                          </w:p>
                          <w:p>
                            <w:pPr>
                              <w:rPr>
                                <w:sz w:val="48"/>
                                <w:szCs w:val="48"/>
                              </w:rPr>
                            </w:pPr>
                          </w:p>
                        </w:txbxContent>
                      </wps:txbx>
                      <wps:bodyPr lIns="0" tIns="0" rIns="0" bIns="0" upright="1"/>
                    </wps:wsp>
                  </a:graphicData>
                </a:graphic>
              </wp:anchor>
            </w:drawing>
          </mc:Choice>
          <mc:Fallback>
            <w:pict>
              <v:shape id="_x0000_s1026" o:spid="_x0000_s1026" o:spt="202" type="#_x0000_t202" style="position:absolute;left:0pt;margin-left:0pt;margin-top:96.85pt;height:63.8pt;width:472.5pt;mso-position-horizontal-relative:margin;mso-position-vertical-relative:margin;z-index:251660288;mso-width-relative:page;mso-height-relative:page;" fillcolor="#FFFFFF" filled="t" stroked="f" coordsize="21600,21600" o:gfxdata="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FAN3FjXAAAA&#10;CAEAAA8AAAAAAAAAAQAgAAAAOAAAAGRycy9kb3ducmV2LnhtbFBLAQIUABQAAAAIAIdO4kCqVDRZ&#10;zwEAAJsDAAAOAAAAAAAAAAEAIAAAADwBAABkcnMvZTJvRG9jLnhtbFBLBQYAAAAABgAGAFkBAAB9&#10;BQAAAAA=&#10;">
                <v:fill on="t" focussize="0,0"/>
                <v:stroke on="f"/>
                <v:imagedata o:title=""/>
                <o:lock v:ext="edit" aspectratio="f"/>
                <v:textbox inset="0mm,0mm,0mm,0mm">
                  <w:txbxContent>
                    <w:p>
                      <w:pPr>
                        <w:pStyle w:val="26"/>
                        <w:rPr>
                          <w:szCs w:val="48"/>
                        </w:rPr>
                      </w:pPr>
                      <w:r>
                        <w:rPr>
                          <w:rFonts w:hint="eastAsia"/>
                          <w:szCs w:val="48"/>
                        </w:rPr>
                        <w:t>团体标准</w:t>
                      </w:r>
                    </w:p>
                    <w:p>
                      <w:pPr>
                        <w:pStyle w:val="27"/>
                      </w:pPr>
                      <w:r>
                        <w:t>T/CFCA 0006—202</w:t>
                      </w:r>
                      <w:r>
                        <w:rPr>
                          <w:rFonts w:hint="eastAsia"/>
                        </w:rPr>
                        <w:t>3</w:t>
                      </w:r>
                    </w:p>
                    <w:p>
                      <w:pPr>
                        <w:pStyle w:val="26"/>
                        <w:rPr>
                          <w:szCs w:val="48"/>
                        </w:rPr>
                      </w:pPr>
                    </w:p>
                    <w:p>
                      <w:pPr>
                        <w:rPr>
                          <w:sz w:val="48"/>
                          <w:szCs w:val="48"/>
                        </w:rPr>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3635375</wp:posOffset>
                </wp:positionV>
                <wp:extent cx="5934075" cy="4681220"/>
                <wp:effectExtent l="0" t="0" r="9525" b="5080"/>
                <wp:wrapNone/>
                <wp:docPr id="8" name="文本框 8"/>
                <wp:cNvGraphicFramePr/>
                <a:graphic xmlns:a="http://schemas.openxmlformats.org/drawingml/2006/main">
                  <a:graphicData uri="http://schemas.microsoft.com/office/word/2010/wordprocessingShape">
                    <wps:wsp>
                      <wps:cNvSpPr txBox="1"/>
                      <wps:spPr>
                        <a:xfrm>
                          <a:off x="0" y="0"/>
                          <a:ext cx="5934075" cy="4681220"/>
                        </a:xfrm>
                        <a:prstGeom prst="rect">
                          <a:avLst/>
                        </a:prstGeom>
                        <a:solidFill>
                          <a:srgbClr val="FFFFFF"/>
                        </a:solidFill>
                        <a:ln>
                          <a:noFill/>
                        </a:ln>
                      </wps:spPr>
                      <wps:txbx>
                        <w:txbxContent>
                          <w:p>
                            <w:pPr>
                              <w:pStyle w:val="28"/>
                              <w:rPr>
                                <w:color w:val="C00000"/>
                                <w:sz w:val="32"/>
                                <w:szCs w:val="32"/>
                              </w:rPr>
                            </w:pPr>
                            <w:r>
                              <w:rPr>
                                <w:rFonts w:hint="eastAsia"/>
                                <w:sz w:val="48"/>
                                <w:szCs w:val="48"/>
                              </w:rPr>
                              <w:t>食品追溯信息系统评价方法</w:t>
                            </w:r>
                          </w:p>
                          <w:p>
                            <w:pPr>
                              <w:pStyle w:val="30"/>
                              <w:rPr>
                                <w:rFonts w:ascii="黑体" w:eastAsia="黑体"/>
                                <w:color w:val="C00000"/>
                              </w:rPr>
                            </w:pPr>
                            <w:r>
                              <w:rPr>
                                <w:rFonts w:hint="eastAsia" w:ascii="Arial" w:hAnsi="Arial" w:cs="Arial"/>
                                <w:sz w:val="30"/>
                                <w:szCs w:val="30"/>
                              </w:rPr>
                              <w:t>Evaluation method of food traceability information system</w:t>
                            </w:r>
                          </w:p>
                          <w:p>
                            <w:pPr>
                              <w:pStyle w:val="30"/>
                              <w:rPr>
                                <w:rFonts w:ascii="黑体" w:eastAsia="黑体"/>
                              </w:rPr>
                            </w:pPr>
                          </w:p>
                          <w:p>
                            <w:pPr>
                              <w:pStyle w:val="31"/>
                            </w:pPr>
                            <w:r>
                              <w:rPr>
                                <w:rFonts w:hint="eastAsia"/>
                              </w:rPr>
                              <w:t>（征求意见稿）</w:t>
                            </w:r>
                          </w:p>
                          <w:p>
                            <w:pPr>
                              <w:pStyle w:val="31"/>
                              <w:rPr>
                                <w:sz w:val="32"/>
                                <w:szCs w:val="32"/>
                              </w:rPr>
                            </w:pPr>
                          </w:p>
                        </w:txbxContent>
                      </wps:txbx>
                      <wps:bodyPr lIns="0" tIns="0" rIns="0" bIns="0" upright="1"/>
                    </wps:wsp>
                  </a:graphicData>
                </a:graphic>
              </wp:anchor>
            </w:drawing>
          </mc:Choice>
          <mc:Fallback>
            <w:pict>
              <v:shape id="_x0000_s1026" o:spid="_x0000_s1026" o:spt="202" type="#_x0000_t202" style="position:absolute;left:0pt;margin-left:0pt;margin-top:286.25pt;height:368.6pt;width:467.25pt;mso-position-horizontal-relative:margin;mso-position-vertical-relative:margin;z-index:251659264;mso-width-relative:page;mso-height-relative:page;" fillcolor="#FFFFFF" filled="t" stroked="f" coordsize="21600,21600" o:gfxdata="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Lb6&#10;wpzZAAAACQEAAA8AAAAAAAAAAQAgAAAAOAAAAGRycy9kb3ducmV2LnhtbFBLAQIUABQAAAAIAIdO&#10;4kClZ8Rg0wEAAJwDAAAOAAAAAAAAAAEAIAAAAD4BAABkcnMvZTJvRG9jLnhtbFBLBQYAAAAABgAG&#10;AFkBAACDBQAAAAA=&#10;">
                <v:fill on="t" focussize="0,0"/>
                <v:stroke on="f"/>
                <v:imagedata o:title=""/>
                <o:lock v:ext="edit" aspectratio="f"/>
                <v:textbox inset="0mm,0mm,0mm,0mm">
                  <w:txbxContent>
                    <w:p>
                      <w:pPr>
                        <w:pStyle w:val="28"/>
                        <w:rPr>
                          <w:color w:val="C00000"/>
                          <w:sz w:val="32"/>
                          <w:szCs w:val="32"/>
                        </w:rPr>
                      </w:pPr>
                      <w:r>
                        <w:rPr>
                          <w:rFonts w:hint="eastAsia"/>
                          <w:sz w:val="48"/>
                          <w:szCs w:val="48"/>
                        </w:rPr>
                        <w:t>食品追溯信息系统评价方法</w:t>
                      </w:r>
                    </w:p>
                    <w:p>
                      <w:pPr>
                        <w:pStyle w:val="30"/>
                        <w:rPr>
                          <w:rFonts w:ascii="黑体" w:eastAsia="黑体"/>
                          <w:color w:val="C00000"/>
                        </w:rPr>
                      </w:pPr>
                      <w:r>
                        <w:rPr>
                          <w:rFonts w:hint="eastAsia" w:ascii="Arial" w:hAnsi="Arial" w:cs="Arial"/>
                          <w:sz w:val="30"/>
                          <w:szCs w:val="30"/>
                        </w:rPr>
                        <w:t>Evaluation method of food traceability information system</w:t>
                      </w:r>
                    </w:p>
                    <w:p>
                      <w:pPr>
                        <w:pStyle w:val="30"/>
                        <w:rPr>
                          <w:rFonts w:ascii="黑体" w:eastAsia="黑体"/>
                        </w:rPr>
                      </w:pPr>
                    </w:p>
                    <w:p>
                      <w:pPr>
                        <w:pStyle w:val="31"/>
                      </w:pPr>
                      <w:r>
                        <w:rPr>
                          <w:rFonts w:hint="eastAsia"/>
                        </w:rPr>
                        <w:t>（征求意见稿）</w:t>
                      </w:r>
                    </w:p>
                    <w:p>
                      <w:pPr>
                        <w:pStyle w:val="31"/>
                        <w:rPr>
                          <w:sz w:val="32"/>
                          <w:szCs w:val="32"/>
                        </w:rPr>
                      </w:pPr>
                    </w:p>
                  </w:txbxContent>
                </v:textbox>
                <w10:anchorlock/>
              </v:shape>
            </w:pict>
          </mc:Fallback>
        </mc:AlternateContent>
      </w:r>
    </w:p>
    <w:bookmarkEnd w:id="0"/>
    <w:p>
      <w:pPr>
        <w:pStyle w:val="14"/>
        <w:rPr>
          <w:rFonts w:hAnsi="黑体" w:cs="黑体"/>
        </w:rPr>
      </w:pPr>
      <w:r>
        <w:rPr>
          <w:rFonts w:hint="eastAsia" w:hAnsi="黑体" w:cs="黑体"/>
        </w:rPr>
        <w:t>目</w:t>
      </w:r>
      <w:bookmarkStart w:id="6" w:name="BKML"/>
      <w:r>
        <w:rPr>
          <w:rFonts w:hint="eastAsia" w:hAnsi="黑体" w:cs="黑体"/>
        </w:rPr>
        <w:t>  次</w:t>
      </w:r>
      <w:bookmarkEnd w:id="6"/>
    </w:p>
    <w:p>
      <w:pPr>
        <w:pStyle w:val="6"/>
        <w:tabs>
          <w:tab w:val="right" w:leader="dot" w:pos="9412"/>
          <w:tab w:val="clear" w:pos="9241"/>
        </w:tabs>
        <w:spacing w:before="60" w:after="60"/>
      </w:pPr>
      <w:r>
        <w:fldChar w:fldCharType="begin"/>
      </w:r>
      <w:r>
        <w:instrText xml:space="preserve"> TOC \h \z \t "</w:instrText>
      </w:r>
      <w:r>
        <w:rPr>
          <w:rFonts w:hint="eastAsia"/>
        </w:rPr>
        <w:instrText xml:space="preserve">前言、引言标题</w:instrText>
      </w:r>
      <w:r>
        <w:instrText xml:space="preserve">,1,</w:instrText>
      </w:r>
      <w:r>
        <w:rPr>
          <w:rFonts w:hint="eastAsia"/>
        </w:rPr>
        <w:instrText xml:space="preserve">参考文献、索引标题</w:instrText>
      </w:r>
      <w:r>
        <w:instrText xml:space="preserve">,1,</w:instrText>
      </w:r>
      <w:r>
        <w:rPr>
          <w:rFonts w:hint="eastAsia"/>
        </w:rPr>
        <w:instrText xml:space="preserve">章标题</w:instrText>
      </w:r>
      <w:r>
        <w:instrText xml:space="preserve">,1,</w:instrText>
      </w:r>
      <w:r>
        <w:rPr>
          <w:rFonts w:hint="eastAsia"/>
        </w:rPr>
        <w:instrText xml:space="preserve">参考文献</w:instrText>
      </w:r>
      <w:r>
        <w:instrText xml:space="preserve">,1,</w:instrText>
      </w:r>
      <w:r>
        <w:rPr>
          <w:rFonts w:hint="eastAsia"/>
        </w:rPr>
        <w:instrText xml:space="preserve">附录标识</w:instrText>
      </w:r>
      <w:r>
        <w:instrText xml:space="preserve">,1,</w:instrText>
      </w:r>
      <w:r>
        <w:rPr>
          <w:rFonts w:hint="eastAsia"/>
        </w:rPr>
        <w:instrText xml:space="preserve">一级条标题</w:instrText>
      </w:r>
      <w:r>
        <w:instrText xml:space="preserve">,3"</w:instrText>
      </w:r>
      <w:r>
        <w:fldChar w:fldCharType="separate"/>
      </w:r>
      <w:r>
        <w:fldChar w:fldCharType="begin"/>
      </w:r>
      <w:r>
        <w:instrText xml:space="preserve"> HYPERLINK \l "_Toc12663" </w:instrText>
      </w:r>
      <w:r>
        <w:fldChar w:fldCharType="separate"/>
      </w:r>
      <w:r>
        <w:rPr>
          <w:rFonts w:hint="eastAsia" w:hAnsi="黑体" w:cs="黑体"/>
        </w:rPr>
        <w:t>前  言</w:t>
      </w:r>
      <w:r>
        <w:tab/>
      </w:r>
      <w:r>
        <w:fldChar w:fldCharType="begin"/>
      </w:r>
      <w:r>
        <w:instrText xml:space="preserve"> PAGEREF _Toc12663 \h </w:instrText>
      </w:r>
      <w:r>
        <w:fldChar w:fldCharType="separate"/>
      </w:r>
      <w:r>
        <w:t>II</w:t>
      </w:r>
      <w:r>
        <w:fldChar w:fldCharType="end"/>
      </w:r>
      <w:r>
        <w:fldChar w:fldCharType="end"/>
      </w:r>
    </w:p>
    <w:p>
      <w:pPr>
        <w:pStyle w:val="6"/>
        <w:tabs>
          <w:tab w:val="right" w:leader="dot" w:pos="9412"/>
          <w:tab w:val="clear" w:pos="9241"/>
        </w:tabs>
        <w:spacing w:before="60" w:after="60"/>
      </w:pPr>
      <w:r>
        <w:fldChar w:fldCharType="begin"/>
      </w:r>
      <w:r>
        <w:instrText xml:space="preserve"> HYPERLINK \l "_Toc1467" </w:instrText>
      </w:r>
      <w:r>
        <w:fldChar w:fldCharType="separate"/>
      </w:r>
      <w:r>
        <w:rPr>
          <w:rFonts w:hint="eastAsia" w:ascii="黑体" w:eastAsia="黑体"/>
        </w:rPr>
        <w:t xml:space="preserve">1 </w:t>
      </w:r>
      <w:r>
        <w:rPr>
          <w:rFonts w:hint="eastAsia"/>
        </w:rPr>
        <w:t>范围</w:t>
      </w:r>
      <w:r>
        <w:tab/>
      </w:r>
      <w:r>
        <w:fldChar w:fldCharType="begin"/>
      </w:r>
      <w:r>
        <w:instrText xml:space="preserve"> PAGEREF _Toc1467 \h </w:instrText>
      </w:r>
      <w:r>
        <w:fldChar w:fldCharType="separate"/>
      </w:r>
      <w:r>
        <w:t>3</w:t>
      </w:r>
      <w:r>
        <w:fldChar w:fldCharType="end"/>
      </w:r>
      <w:r>
        <w:fldChar w:fldCharType="end"/>
      </w:r>
    </w:p>
    <w:p>
      <w:pPr>
        <w:pStyle w:val="6"/>
        <w:tabs>
          <w:tab w:val="right" w:leader="dot" w:pos="9412"/>
          <w:tab w:val="clear" w:pos="9241"/>
        </w:tabs>
        <w:spacing w:before="60" w:after="60"/>
      </w:pPr>
      <w:r>
        <w:fldChar w:fldCharType="begin"/>
      </w:r>
      <w:r>
        <w:instrText xml:space="preserve"> HYPERLINK \l "_Toc6105" </w:instrText>
      </w:r>
      <w:r>
        <w:fldChar w:fldCharType="separate"/>
      </w:r>
      <w:r>
        <w:rPr>
          <w:rFonts w:hint="eastAsia" w:ascii="黑体" w:eastAsia="黑体"/>
        </w:rPr>
        <w:t xml:space="preserve">2 </w:t>
      </w:r>
      <w:r>
        <w:rPr>
          <w:rFonts w:hint="eastAsia"/>
          <w:szCs w:val="22"/>
        </w:rPr>
        <w:t>规范性引用文件</w:t>
      </w:r>
      <w:r>
        <w:tab/>
      </w:r>
      <w:r>
        <w:fldChar w:fldCharType="begin"/>
      </w:r>
      <w:r>
        <w:instrText xml:space="preserve"> PAGEREF _Toc6105 \h </w:instrText>
      </w:r>
      <w:r>
        <w:fldChar w:fldCharType="separate"/>
      </w:r>
      <w:r>
        <w:t>3</w:t>
      </w:r>
      <w:r>
        <w:fldChar w:fldCharType="end"/>
      </w:r>
      <w:r>
        <w:fldChar w:fldCharType="end"/>
      </w:r>
    </w:p>
    <w:p>
      <w:pPr>
        <w:pStyle w:val="6"/>
        <w:tabs>
          <w:tab w:val="right" w:leader="dot" w:pos="9412"/>
          <w:tab w:val="clear" w:pos="9241"/>
        </w:tabs>
        <w:spacing w:before="60" w:after="60"/>
      </w:pPr>
      <w:r>
        <w:fldChar w:fldCharType="begin"/>
      </w:r>
      <w:r>
        <w:instrText xml:space="preserve"> HYPERLINK \l "_Toc15727"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_Toc15727 \h </w:instrText>
      </w:r>
      <w:r>
        <w:fldChar w:fldCharType="separate"/>
      </w:r>
      <w:r>
        <w:t>3</w:t>
      </w:r>
      <w:r>
        <w:fldChar w:fldCharType="end"/>
      </w:r>
      <w:r>
        <w:fldChar w:fldCharType="end"/>
      </w:r>
    </w:p>
    <w:p>
      <w:pPr>
        <w:pStyle w:val="6"/>
        <w:tabs>
          <w:tab w:val="right" w:leader="dot" w:pos="9412"/>
          <w:tab w:val="clear" w:pos="9241"/>
        </w:tabs>
        <w:spacing w:before="60" w:after="60"/>
      </w:pPr>
      <w:r>
        <w:fldChar w:fldCharType="begin"/>
      </w:r>
      <w:r>
        <w:instrText xml:space="preserve"> HYPERLINK \l "_Toc18617" </w:instrText>
      </w:r>
      <w:r>
        <w:fldChar w:fldCharType="separate"/>
      </w:r>
      <w:r>
        <w:rPr>
          <w:rFonts w:hint="eastAsia" w:ascii="黑体" w:eastAsia="黑体"/>
        </w:rPr>
        <w:t xml:space="preserve">4 </w:t>
      </w:r>
      <w:r>
        <w:rPr>
          <w:rFonts w:hint="eastAsia"/>
        </w:rPr>
        <w:t>食品追溯信息系统功能</w:t>
      </w:r>
      <w:r>
        <w:tab/>
      </w:r>
      <w:r>
        <w:fldChar w:fldCharType="begin"/>
      </w:r>
      <w:r>
        <w:instrText xml:space="preserve"> PAGEREF _Toc18617 \h </w:instrText>
      </w:r>
      <w:r>
        <w:fldChar w:fldCharType="separate"/>
      </w:r>
      <w:r>
        <w:t>3</w:t>
      </w:r>
      <w:r>
        <w:fldChar w:fldCharType="end"/>
      </w:r>
      <w:r>
        <w:fldChar w:fldCharType="end"/>
      </w:r>
    </w:p>
    <w:p>
      <w:pPr>
        <w:pStyle w:val="6"/>
        <w:tabs>
          <w:tab w:val="right" w:leader="dot" w:pos="9412"/>
          <w:tab w:val="clear" w:pos="9241"/>
        </w:tabs>
        <w:spacing w:before="60" w:after="60"/>
      </w:pPr>
      <w:r>
        <w:fldChar w:fldCharType="begin"/>
      </w:r>
      <w:r>
        <w:instrText xml:space="preserve"> HYPERLINK \l "_Toc14192" </w:instrText>
      </w:r>
      <w:r>
        <w:fldChar w:fldCharType="separate"/>
      </w:r>
      <w:r>
        <w:rPr>
          <w:rFonts w:hint="eastAsia" w:ascii="黑体" w:eastAsia="黑体"/>
        </w:rPr>
        <w:t xml:space="preserve">5 </w:t>
      </w:r>
      <w:r>
        <w:rPr>
          <w:rFonts w:hint="eastAsia"/>
          <w:szCs w:val="22"/>
        </w:rPr>
        <w:t>食品追溯信息系统评价方法</w:t>
      </w:r>
      <w:r>
        <w:tab/>
      </w:r>
      <w:r>
        <w:fldChar w:fldCharType="begin"/>
      </w:r>
      <w:r>
        <w:instrText xml:space="preserve"> PAGEREF _Toc14192 \h </w:instrText>
      </w:r>
      <w:r>
        <w:fldChar w:fldCharType="separate"/>
      </w:r>
      <w:r>
        <w:t>4</w:t>
      </w:r>
      <w:r>
        <w:fldChar w:fldCharType="end"/>
      </w:r>
      <w:r>
        <w:fldChar w:fldCharType="end"/>
      </w:r>
    </w:p>
    <w:p>
      <w:pPr>
        <w:pStyle w:val="6"/>
        <w:tabs>
          <w:tab w:val="right" w:leader="dot" w:pos="9412"/>
          <w:tab w:val="clear" w:pos="9241"/>
        </w:tabs>
        <w:spacing w:before="60" w:after="60"/>
      </w:pPr>
      <w:r>
        <w:fldChar w:fldCharType="begin"/>
      </w:r>
      <w:r>
        <w:instrText xml:space="preserve"> HYPERLINK \l "_Toc11992" </w:instrText>
      </w:r>
      <w:r>
        <w:fldChar w:fldCharType="separate"/>
      </w:r>
      <w:r>
        <w:rPr>
          <w:rFonts w:hint="eastAsia" w:ascii="黑体" w:eastAsia="黑体"/>
        </w:rPr>
        <w:t xml:space="preserve">6 </w:t>
      </w:r>
      <w:r>
        <w:rPr>
          <w:rFonts w:hint="eastAsia"/>
          <w:szCs w:val="22"/>
        </w:rPr>
        <w:t>考核评分计算方法</w:t>
      </w:r>
      <w:r>
        <w:tab/>
      </w:r>
      <w:r>
        <w:fldChar w:fldCharType="begin"/>
      </w:r>
      <w:r>
        <w:instrText xml:space="preserve"> PAGEREF _Toc11992 \h </w:instrText>
      </w:r>
      <w:r>
        <w:fldChar w:fldCharType="separate"/>
      </w:r>
      <w:r>
        <w:t>4</w:t>
      </w:r>
      <w:r>
        <w:fldChar w:fldCharType="end"/>
      </w:r>
      <w:r>
        <w:fldChar w:fldCharType="end"/>
      </w:r>
    </w:p>
    <w:p>
      <w:pPr>
        <w:pStyle w:val="6"/>
        <w:tabs>
          <w:tab w:val="right" w:leader="dot" w:pos="9412"/>
          <w:tab w:val="clear" w:pos="9241"/>
        </w:tabs>
        <w:spacing w:before="60" w:after="60"/>
      </w:pPr>
      <w:r>
        <w:fldChar w:fldCharType="begin"/>
      </w:r>
      <w:r>
        <w:instrText xml:space="preserve"> HYPERLINK \l "_Toc22868" </w:instrText>
      </w:r>
      <w:r>
        <w:fldChar w:fldCharType="separate"/>
      </w:r>
      <w:r>
        <w:rPr>
          <w:rFonts w:hint="eastAsia" w:ascii="黑体" w:eastAsia="黑体"/>
        </w:rPr>
        <w:t xml:space="preserve">7 </w:t>
      </w:r>
      <w:r>
        <w:rPr>
          <w:rFonts w:hint="eastAsia"/>
        </w:rPr>
        <w:t>服务评价应用</w:t>
      </w:r>
      <w:r>
        <w:tab/>
      </w:r>
      <w:r>
        <w:fldChar w:fldCharType="begin"/>
      </w:r>
      <w:r>
        <w:instrText xml:space="preserve"> PAGEREF _Toc22868 \h </w:instrText>
      </w:r>
      <w:r>
        <w:fldChar w:fldCharType="separate"/>
      </w:r>
      <w:r>
        <w:t>5</w:t>
      </w:r>
      <w:r>
        <w:fldChar w:fldCharType="end"/>
      </w:r>
      <w:r>
        <w:fldChar w:fldCharType="end"/>
      </w:r>
    </w:p>
    <w:p>
      <w:pPr>
        <w:pStyle w:val="6"/>
        <w:tabs>
          <w:tab w:val="right" w:leader="dot" w:pos="9412"/>
          <w:tab w:val="clear" w:pos="9241"/>
        </w:tabs>
        <w:spacing w:before="60" w:after="60"/>
      </w:pPr>
      <w:r>
        <w:fldChar w:fldCharType="begin"/>
      </w:r>
      <w:r>
        <w:instrText xml:space="preserve"> HYPERLINK \l "_Toc24015" </w:instrText>
      </w:r>
      <w:r>
        <w:fldChar w:fldCharType="separate"/>
      </w:r>
      <w:r>
        <w:rPr>
          <w:rFonts w:hint="eastAsia" w:hAnsi="宋体" w:cs="宋体"/>
        </w:rPr>
        <w:t>参 考 文 献</w:t>
      </w:r>
      <w:r>
        <w:tab/>
      </w:r>
      <w:r>
        <w:fldChar w:fldCharType="begin"/>
      </w:r>
      <w:r>
        <w:instrText xml:space="preserve"> PAGEREF _Toc24015 \h </w:instrText>
      </w:r>
      <w:r>
        <w:fldChar w:fldCharType="separate"/>
      </w:r>
      <w:r>
        <w:t>8</w:t>
      </w:r>
      <w:r>
        <w:fldChar w:fldCharType="end"/>
      </w:r>
      <w:r>
        <w:fldChar w:fldCharType="end"/>
      </w:r>
    </w:p>
    <w:p>
      <w:pPr>
        <w:pStyle w:val="6"/>
        <w:spacing w:before="60" w:after="60"/>
      </w:pPr>
      <w:r>
        <w:fldChar w:fldCharType="end"/>
      </w:r>
    </w:p>
    <w:p>
      <w:pPr>
        <w:pStyle w:val="16"/>
        <w:rPr>
          <w:rFonts w:hAnsi="黑体" w:cs="黑体"/>
        </w:rPr>
        <w:sectPr>
          <w:headerReference r:id="rId7" w:type="default"/>
          <w:footerReference r:id="rId8" w:type="default"/>
          <w:pgSz w:w="11906" w:h="16838"/>
          <w:pgMar w:top="1684" w:right="1247" w:bottom="777" w:left="1247" w:header="851" w:footer="992" w:gutter="0"/>
          <w:pgNumType w:fmt="upperRoman" w:start="1"/>
          <w:cols w:space="425" w:num="1"/>
          <w:docGrid w:linePitch="312" w:charSpace="0"/>
        </w:sectPr>
      </w:pPr>
      <w:bookmarkStart w:id="7" w:name="_Toc477422595"/>
    </w:p>
    <w:p>
      <w:pPr>
        <w:pStyle w:val="16"/>
        <w:rPr>
          <w:rFonts w:hAnsi="黑体" w:cs="黑体"/>
        </w:rPr>
      </w:pPr>
      <w:bookmarkStart w:id="8" w:name="_Toc12663"/>
      <w:r>
        <w:rPr>
          <w:rFonts w:hint="eastAsia" w:hAnsi="黑体" w:cs="黑体"/>
        </w:rPr>
        <w:t>前</w:t>
      </w:r>
      <w:bookmarkStart w:id="9" w:name="BKQY"/>
      <w:r>
        <w:rPr>
          <w:rFonts w:hint="eastAsia" w:hAnsi="黑体" w:cs="黑体"/>
        </w:rPr>
        <w:t>  言</w:t>
      </w:r>
      <w:bookmarkEnd w:id="1"/>
      <w:bookmarkEnd w:id="2"/>
      <w:bookmarkEnd w:id="3"/>
      <w:bookmarkEnd w:id="4"/>
      <w:bookmarkEnd w:id="5"/>
      <w:bookmarkEnd w:id="7"/>
      <w:bookmarkEnd w:id="8"/>
      <w:bookmarkEnd w:id="9"/>
    </w:p>
    <w:p>
      <w:pPr>
        <w:pStyle w:val="15"/>
      </w:pPr>
      <w:r>
        <w:rPr>
          <w:rFonts w:hint="eastAsia"/>
        </w:rPr>
        <w:t>本标准按照</w:t>
      </w:r>
      <w:r>
        <w:t>GB/T 1.1</w:t>
      </w:r>
      <w:r>
        <w:rPr>
          <w:rFonts w:hint="eastAsia"/>
        </w:rPr>
        <w:t>－</w:t>
      </w:r>
      <w:r>
        <w:t>2</w:t>
      </w:r>
      <w:r>
        <w:rPr>
          <w:rFonts w:hint="eastAsia"/>
        </w:rPr>
        <w:t>020《标准化工作导则 第1部分：标准化文件的结构和起草规则》的规定起草。</w:t>
      </w:r>
    </w:p>
    <w:p>
      <w:pPr>
        <w:pStyle w:val="15"/>
        <w:rPr>
          <w:szCs w:val="21"/>
        </w:rPr>
      </w:pPr>
      <w:r>
        <w:rPr>
          <w:rFonts w:hint="eastAsia"/>
          <w:szCs w:val="21"/>
        </w:rPr>
        <w:t>本标准由中国副食流通协会标准</w:t>
      </w:r>
      <w:r>
        <w:rPr>
          <w:rFonts w:hint="eastAsia"/>
          <w:szCs w:val="21"/>
          <w:lang w:val="en-US" w:eastAsia="zh-Hans"/>
        </w:rPr>
        <w:t>法规工作</w:t>
      </w:r>
      <w:bookmarkStart w:id="68" w:name="_GoBack"/>
      <w:bookmarkEnd w:id="68"/>
      <w:r>
        <w:rPr>
          <w:rFonts w:hint="eastAsia"/>
          <w:szCs w:val="21"/>
        </w:rPr>
        <w:t>委员会提出并归口。</w:t>
      </w:r>
    </w:p>
    <w:p>
      <w:pPr>
        <w:pStyle w:val="15"/>
      </w:pPr>
      <w:r>
        <w:rPr>
          <w:rFonts w:hint="eastAsia"/>
        </w:rPr>
        <w:t>本标准起草单位：。</w:t>
      </w:r>
    </w:p>
    <w:p>
      <w:pPr>
        <w:pStyle w:val="15"/>
      </w:pPr>
      <w:r>
        <w:rPr>
          <w:rFonts w:hint="eastAsia"/>
        </w:rPr>
        <w:t>本标准主要起草人：。</w:t>
      </w:r>
    </w:p>
    <w:p>
      <w:pPr>
        <w:pStyle w:val="15"/>
      </w:pPr>
    </w:p>
    <w:p>
      <w:pPr>
        <w:pStyle w:val="15"/>
      </w:pPr>
    </w:p>
    <w:p>
      <w:pPr>
        <w:pStyle w:val="14"/>
        <w:sectPr>
          <w:footerReference r:id="rId9" w:type="default"/>
          <w:pgSz w:w="11906" w:h="16838"/>
          <w:pgMar w:top="1684" w:right="1247" w:bottom="777" w:left="1247" w:header="851" w:footer="992" w:gutter="0"/>
          <w:pgNumType w:fmt="upperRoman"/>
          <w:cols w:space="425" w:num="1"/>
          <w:docGrid w:linePitch="312" w:charSpace="0"/>
        </w:sectPr>
      </w:pPr>
    </w:p>
    <w:p>
      <w:pPr>
        <w:pStyle w:val="14"/>
      </w:pPr>
      <w:r>
        <w:rPr>
          <w:rFonts w:hint="eastAsia"/>
        </w:rPr>
        <w:t>食品追溯信息系统评价方法</w:t>
      </w:r>
    </w:p>
    <w:p>
      <w:pPr>
        <w:pStyle w:val="17"/>
        <w:spacing w:before="312" w:after="312"/>
        <w:ind w:left="0"/>
      </w:pPr>
      <w:bookmarkStart w:id="10" w:name="_Toc1467"/>
      <w:bookmarkStart w:id="11" w:name="_Toc492986374"/>
      <w:r>
        <w:rPr>
          <w:rFonts w:hint="eastAsia"/>
        </w:rPr>
        <w:t>范围</w:t>
      </w:r>
      <w:bookmarkEnd w:id="10"/>
      <w:bookmarkEnd w:id="11"/>
    </w:p>
    <w:p>
      <w:pPr>
        <w:pStyle w:val="15"/>
      </w:pPr>
      <w:r>
        <w:rPr>
          <w:rFonts w:hint="eastAsia"/>
        </w:rPr>
        <w:t>本文件规定了食品追溯信息系统的术语和定义</w:t>
      </w:r>
      <w:r>
        <w:rPr>
          <w:rFonts w:hint="eastAsia" w:hAnsi="宋体" w:cs="宋体"/>
          <w:szCs w:val="22"/>
          <w:lang w:val="zh-CN"/>
        </w:rPr>
        <w:t>、</w:t>
      </w:r>
      <w:r>
        <w:rPr>
          <w:rFonts w:hint="eastAsia" w:hAnsi="宋体" w:cs="宋体"/>
          <w:szCs w:val="22"/>
        </w:rPr>
        <w:t>评价</w:t>
      </w:r>
      <w:r>
        <w:rPr>
          <w:rFonts w:hint="eastAsia" w:hAnsi="宋体" w:cs="宋体"/>
          <w:szCs w:val="22"/>
          <w:lang w:val="zh-CN"/>
        </w:rPr>
        <w:t>指标、</w:t>
      </w:r>
      <w:r>
        <w:rPr>
          <w:rFonts w:hint="eastAsia" w:hAnsi="宋体" w:cs="宋体"/>
          <w:szCs w:val="22"/>
        </w:rPr>
        <w:t>评价</w:t>
      </w:r>
      <w:r>
        <w:rPr>
          <w:rFonts w:hint="eastAsia" w:hAnsi="宋体" w:cs="宋体"/>
          <w:szCs w:val="22"/>
          <w:lang w:val="zh-CN"/>
        </w:rPr>
        <w:t>方法和</w:t>
      </w:r>
      <w:r>
        <w:rPr>
          <w:rFonts w:hint="eastAsia"/>
        </w:rPr>
        <w:t>结果表示</w:t>
      </w:r>
      <w:r>
        <w:rPr>
          <w:rFonts w:hint="eastAsia" w:hAnsi="宋体" w:cs="宋体"/>
          <w:szCs w:val="22"/>
          <w:lang w:val="zh-CN"/>
        </w:rPr>
        <w:t>。</w:t>
      </w:r>
    </w:p>
    <w:p>
      <w:pPr>
        <w:pStyle w:val="15"/>
        <w:rPr>
          <w:rFonts w:hAnsi="宋体" w:cs="宋体"/>
          <w:szCs w:val="22"/>
          <w:lang w:val="zh-CN"/>
        </w:rPr>
      </w:pPr>
      <w:r>
        <w:rPr>
          <w:rFonts w:hint="eastAsia" w:hAnsi="宋体" w:cs="宋体"/>
          <w:szCs w:val="22"/>
          <w:lang w:val="zh-CN"/>
        </w:rPr>
        <w:t>本文件适用于</w:t>
      </w:r>
      <w:r>
        <w:rPr>
          <w:rFonts w:hint="eastAsia" w:hAnsi="宋体" w:cs="宋体"/>
          <w:szCs w:val="22"/>
        </w:rPr>
        <w:t>对食品追溯系统开发商、食品追溯技术服务商、食品追溯应用企业</w:t>
      </w:r>
      <w:r>
        <w:rPr>
          <w:rFonts w:hint="eastAsia" w:hAnsi="宋体" w:cs="宋体"/>
          <w:szCs w:val="22"/>
          <w:lang w:val="en-US" w:eastAsia="zh-CN"/>
        </w:rPr>
        <w:t>和第三方评价机构</w:t>
      </w:r>
      <w:r>
        <w:rPr>
          <w:rFonts w:hint="eastAsia" w:hAnsi="宋体" w:cs="宋体"/>
          <w:szCs w:val="22"/>
        </w:rPr>
        <w:t>提供的食品追溯信息系统</w:t>
      </w:r>
      <w:r>
        <w:rPr>
          <w:rFonts w:hint="eastAsia" w:hAnsi="宋体" w:cs="宋体"/>
          <w:szCs w:val="22"/>
          <w:lang w:val="zh-CN"/>
        </w:rPr>
        <w:t>进行综合评价。</w:t>
      </w:r>
      <w:bookmarkStart w:id="12" w:name="_Toc492986375"/>
    </w:p>
    <w:p>
      <w:pPr>
        <w:pStyle w:val="17"/>
        <w:spacing w:before="312" w:after="312"/>
        <w:ind w:left="0"/>
        <w:rPr>
          <w:szCs w:val="22"/>
        </w:rPr>
      </w:pPr>
      <w:bookmarkStart w:id="13" w:name="_Toc6105"/>
      <w:r>
        <w:rPr>
          <w:rFonts w:hint="eastAsia"/>
          <w:szCs w:val="22"/>
        </w:rPr>
        <w:t>规范性引用文件</w:t>
      </w:r>
      <w:bookmarkEnd w:id="12"/>
      <w:bookmarkEnd w:id="13"/>
    </w:p>
    <w:p>
      <w:pPr>
        <w:pStyle w:val="15"/>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pPr>
        <w:ind w:firstLine="420"/>
        <w:jc w:val="left"/>
        <w:rPr>
          <w:szCs w:val="21"/>
        </w:rPr>
      </w:pPr>
      <w:r>
        <w:rPr>
          <w:rFonts w:hint="eastAsia" w:ascii="黑体" w:eastAsia="黑体"/>
        </w:rPr>
        <w:t xml:space="preserve">GB/T 37029 </w:t>
      </w:r>
      <w:r>
        <w:rPr>
          <w:rFonts w:hint="eastAsia"/>
          <w:szCs w:val="21"/>
        </w:rPr>
        <w:t>食品追溯 信息记录要求</w:t>
      </w:r>
    </w:p>
    <w:p>
      <w:pPr>
        <w:ind w:firstLine="420"/>
        <w:jc w:val="left"/>
        <w:rPr>
          <w:rFonts w:hint="eastAsia"/>
        </w:rPr>
      </w:pPr>
      <w:r>
        <w:rPr>
          <w:rFonts w:hint="eastAsia" w:ascii="黑体" w:eastAsia="黑体"/>
        </w:rPr>
        <w:t xml:space="preserve">GB/T 38155 </w:t>
      </w:r>
      <w:r>
        <w:rPr>
          <w:rFonts w:hint="eastAsia"/>
          <w:szCs w:val="21"/>
        </w:rPr>
        <w:t>重要产品追溯 追溯术语</w:t>
      </w:r>
    </w:p>
    <w:p>
      <w:pPr>
        <w:ind w:firstLine="420"/>
        <w:jc w:val="left"/>
        <w:rPr>
          <w:rFonts w:ascii="黑体" w:eastAsia="黑体"/>
        </w:rPr>
      </w:pPr>
      <w:r>
        <w:rPr>
          <w:rFonts w:ascii="黑体" w:eastAsia="黑体"/>
        </w:rPr>
        <w:t>T/CFCA 0001</w:t>
      </w:r>
      <w:r>
        <w:rPr>
          <w:rFonts w:hint="eastAsia"/>
        </w:rPr>
        <w:t>追溯对象编码规范</w:t>
      </w:r>
    </w:p>
    <w:p>
      <w:pPr>
        <w:ind w:firstLine="420"/>
        <w:jc w:val="left"/>
        <w:rPr>
          <w:rFonts w:hint="eastAsia"/>
          <w:szCs w:val="21"/>
        </w:rPr>
      </w:pPr>
      <w:r>
        <w:rPr>
          <w:rFonts w:ascii="黑体" w:eastAsia="黑体"/>
        </w:rPr>
        <w:t>T/CFCA 0002</w:t>
      </w:r>
      <w:r>
        <w:rPr>
          <w:rFonts w:hint="eastAsia"/>
          <w:szCs w:val="21"/>
        </w:rPr>
        <w:t>企业产品追溯体系等级评价指标</w:t>
      </w:r>
    </w:p>
    <w:p>
      <w:pPr>
        <w:ind w:firstLine="420"/>
        <w:jc w:val="left"/>
        <w:rPr>
          <w:rFonts w:hint="default" w:eastAsia="黑体"/>
          <w:szCs w:val="21"/>
          <w:lang w:val="en-US" w:eastAsia="zh-CN"/>
        </w:rPr>
      </w:pPr>
      <w:r>
        <w:rPr>
          <w:rFonts w:ascii="黑体" w:eastAsia="黑体"/>
        </w:rPr>
        <w:t>T/CFCA 00</w:t>
      </w:r>
      <w:r>
        <w:rPr>
          <w:rFonts w:hint="eastAsia" w:ascii="黑体" w:eastAsia="黑体"/>
          <w:lang w:val="en-US" w:eastAsia="zh-CN"/>
        </w:rPr>
        <w:t>10</w:t>
      </w:r>
      <w:r>
        <w:rPr>
          <w:rFonts w:hint="eastAsia"/>
          <w:szCs w:val="21"/>
          <w:lang w:val="en-US" w:eastAsia="zh-CN"/>
        </w:rPr>
        <w:t>食品追溯 通用要求</w:t>
      </w:r>
    </w:p>
    <w:p>
      <w:pPr>
        <w:pStyle w:val="17"/>
        <w:spacing w:before="312" w:after="312"/>
        <w:ind w:left="0"/>
      </w:pPr>
      <w:bookmarkStart w:id="14" w:name="_Toc15727"/>
      <w:bookmarkStart w:id="15" w:name="_Toc492986376"/>
      <w:r>
        <w:rPr>
          <w:rFonts w:hint="eastAsia"/>
        </w:rPr>
        <w:t>术语和定义</w:t>
      </w:r>
      <w:bookmarkEnd w:id="14"/>
      <w:bookmarkEnd w:id="15"/>
    </w:p>
    <w:p>
      <w:pPr>
        <w:pStyle w:val="15"/>
        <w:rPr>
          <w:rFonts w:hint="default" w:eastAsia="宋体"/>
          <w:szCs w:val="21"/>
          <w:lang w:val="en-US" w:eastAsia="zh-CN"/>
        </w:rPr>
      </w:pPr>
      <w:r>
        <w:rPr>
          <w:rFonts w:hint="eastAsia"/>
          <w:szCs w:val="21"/>
        </w:rPr>
        <w:t>GB/T 38155</w:t>
      </w:r>
      <w:r>
        <w:rPr>
          <w:rFonts w:hint="eastAsia"/>
          <w:szCs w:val="21"/>
          <w:lang w:val="en-US" w:eastAsia="zh-CN"/>
        </w:rPr>
        <w:t>界定的以及</w:t>
      </w:r>
      <w:r>
        <w:rPr>
          <w:rFonts w:hint="eastAsia"/>
          <w:szCs w:val="21"/>
        </w:rPr>
        <w:t>下列术语和定义适用于本文件。</w:t>
      </w:r>
    </w:p>
    <w:p>
      <w:pPr>
        <w:pStyle w:val="18"/>
        <w:numPr>
          <w:ilvl w:val="1"/>
          <w:numId w:val="0"/>
        </w:numPr>
        <w:spacing w:before="156" w:after="156"/>
      </w:pPr>
      <w:bookmarkStart w:id="16" w:name="_Toc477178889"/>
      <w:bookmarkEnd w:id="16"/>
      <w:bookmarkStart w:id="17" w:name="_Toc471480302"/>
      <w:bookmarkEnd w:id="17"/>
      <w:bookmarkStart w:id="18" w:name="_Toc471480468"/>
      <w:bookmarkEnd w:id="18"/>
      <w:bookmarkStart w:id="19" w:name="_Toc475018759"/>
      <w:bookmarkEnd w:id="19"/>
      <w:bookmarkStart w:id="20" w:name="_Toc477422177"/>
      <w:bookmarkEnd w:id="20"/>
      <w:bookmarkStart w:id="21" w:name="_Toc477422599"/>
      <w:bookmarkEnd w:id="21"/>
      <w:bookmarkStart w:id="22" w:name="_Toc485296831"/>
      <w:bookmarkEnd w:id="22"/>
      <w:bookmarkStart w:id="23" w:name="_Toc485885703"/>
      <w:bookmarkEnd w:id="23"/>
      <w:bookmarkStart w:id="24" w:name="_Toc24268"/>
      <w:bookmarkStart w:id="25" w:name="_Toc10052"/>
      <w:r>
        <w:rPr>
          <w:rFonts w:hint="eastAsia"/>
        </w:rPr>
        <w:t>3.1</w:t>
      </w:r>
      <w:bookmarkEnd w:id="24"/>
      <w:bookmarkEnd w:id="25"/>
    </w:p>
    <w:p>
      <w:pPr>
        <w:pStyle w:val="15"/>
        <w:rPr>
          <w:rFonts w:ascii="黑体" w:eastAsia="黑体"/>
          <w:szCs w:val="21"/>
        </w:rPr>
      </w:pPr>
      <w:r>
        <w:rPr>
          <w:rFonts w:hint="eastAsia" w:ascii="黑体" w:eastAsia="黑体"/>
          <w:szCs w:val="21"/>
        </w:rPr>
        <w:t>食品追溯</w:t>
      </w:r>
      <w:r>
        <w:rPr>
          <w:rFonts w:ascii="黑体" w:eastAsia="黑体"/>
          <w:szCs w:val="21"/>
        </w:rPr>
        <w:t xml:space="preserve">  Food traceability </w:t>
      </w:r>
    </w:p>
    <w:p>
      <w:pPr>
        <w:pStyle w:val="15"/>
        <w:rPr>
          <w:szCs w:val="22"/>
        </w:rPr>
      </w:pPr>
      <w:r>
        <w:rPr>
          <w:rFonts w:hint="eastAsia"/>
          <w:szCs w:val="22"/>
        </w:rPr>
        <w:t>在食品生产、流通、消费</w:t>
      </w:r>
      <w:r>
        <w:rPr>
          <w:rFonts w:hint="eastAsia"/>
          <w:szCs w:val="22"/>
          <w:lang w:val="en-US" w:eastAsia="zh-CN"/>
        </w:rPr>
        <w:t>等过程</w:t>
      </w:r>
      <w:r>
        <w:rPr>
          <w:rFonts w:hint="eastAsia"/>
          <w:szCs w:val="22"/>
        </w:rPr>
        <w:t>中，通过记录和检索相关信息，确定食品的来源、生产加工环节、流通途径等基本情况，并对可能存在的安全问题进行排查和调查的过程。</w:t>
      </w:r>
    </w:p>
    <w:p>
      <w:pPr>
        <w:pStyle w:val="18"/>
        <w:numPr>
          <w:ilvl w:val="1"/>
          <w:numId w:val="0"/>
        </w:numPr>
        <w:spacing w:before="156" w:after="156"/>
      </w:pPr>
      <w:bookmarkStart w:id="26" w:name="_Toc4746"/>
      <w:r>
        <w:rPr>
          <w:rFonts w:hint="eastAsia"/>
        </w:rPr>
        <w:t>3.2</w:t>
      </w:r>
      <w:bookmarkEnd w:id="26"/>
    </w:p>
    <w:p>
      <w:pPr>
        <w:pStyle w:val="15"/>
        <w:rPr>
          <w:rFonts w:ascii="黑体" w:eastAsia="黑体"/>
          <w:szCs w:val="21"/>
        </w:rPr>
      </w:pPr>
      <w:r>
        <w:rPr>
          <w:rFonts w:hint="eastAsia" w:ascii="黑体" w:eastAsia="黑体"/>
          <w:szCs w:val="21"/>
        </w:rPr>
        <w:t>可追溯性</w:t>
      </w:r>
      <w:r>
        <w:rPr>
          <w:rFonts w:ascii="黑体" w:eastAsia="黑体"/>
          <w:szCs w:val="21"/>
        </w:rPr>
        <w:t xml:space="preserve">  </w:t>
      </w:r>
      <w:r>
        <w:rPr>
          <w:rFonts w:hint="eastAsia" w:ascii="黑体" w:eastAsia="黑体"/>
          <w:szCs w:val="21"/>
        </w:rPr>
        <w:t>T</w:t>
      </w:r>
      <w:r>
        <w:rPr>
          <w:rFonts w:ascii="黑体" w:eastAsia="黑体"/>
          <w:szCs w:val="21"/>
        </w:rPr>
        <w:t>raceability</w:t>
      </w:r>
    </w:p>
    <w:p>
      <w:pPr>
        <w:pStyle w:val="15"/>
        <w:rPr>
          <w:szCs w:val="22"/>
        </w:rPr>
      </w:pPr>
      <w:r>
        <w:rPr>
          <w:rFonts w:hint="eastAsia"/>
          <w:szCs w:val="22"/>
        </w:rPr>
        <w:t>具有可追踪和溯源某个产品的来源、形成过程、使用和位置的能力。</w:t>
      </w:r>
    </w:p>
    <w:p>
      <w:pPr>
        <w:pStyle w:val="15"/>
        <w:rPr>
          <w:szCs w:val="22"/>
        </w:rPr>
      </w:pPr>
      <w:r>
        <w:rPr>
          <w:rFonts w:hint="eastAsia"/>
          <w:szCs w:val="22"/>
        </w:rPr>
        <w:t>[来源：GB/T 37029</w:t>
      </w:r>
      <w:r>
        <w:rPr>
          <w:rFonts w:hAnsi="宋体" w:cs="宋体"/>
          <w:szCs w:val="21"/>
        </w:rPr>
        <w:t>—</w:t>
      </w:r>
      <w:r>
        <w:rPr>
          <w:rFonts w:hint="eastAsia"/>
          <w:szCs w:val="22"/>
        </w:rPr>
        <w:t>2018，3.1]</w:t>
      </w:r>
    </w:p>
    <w:p>
      <w:pPr>
        <w:pStyle w:val="17"/>
        <w:spacing w:before="312" w:after="312"/>
        <w:ind w:left="0"/>
      </w:pPr>
      <w:bookmarkStart w:id="27" w:name="_Toc471480303"/>
      <w:bookmarkEnd w:id="27"/>
      <w:bookmarkStart w:id="28" w:name="_Toc477422600"/>
      <w:bookmarkEnd w:id="28"/>
      <w:bookmarkStart w:id="29" w:name="_Toc477422178"/>
      <w:bookmarkEnd w:id="29"/>
      <w:bookmarkStart w:id="30" w:name="_Toc485296832"/>
      <w:bookmarkEnd w:id="30"/>
      <w:bookmarkStart w:id="31" w:name="_Toc485885705"/>
      <w:bookmarkEnd w:id="31"/>
      <w:bookmarkStart w:id="32" w:name="_Toc477178890"/>
      <w:bookmarkEnd w:id="32"/>
      <w:bookmarkStart w:id="33" w:name="_Toc475018760"/>
      <w:bookmarkEnd w:id="33"/>
      <w:bookmarkStart w:id="34" w:name="_Toc471480469"/>
      <w:bookmarkEnd w:id="34"/>
      <w:bookmarkStart w:id="35" w:name="_Toc18617"/>
      <w:r>
        <w:rPr>
          <w:rFonts w:hint="eastAsia"/>
        </w:rPr>
        <w:t>食品追溯信息系统功能</w:t>
      </w:r>
      <w:bookmarkEnd w:id="35"/>
    </w:p>
    <w:p>
      <w:pPr>
        <w:pStyle w:val="15"/>
        <w:rPr>
          <w:szCs w:val="22"/>
        </w:rPr>
      </w:pPr>
      <w:r>
        <w:rPr>
          <w:rFonts w:hint="eastAsia"/>
          <w:szCs w:val="22"/>
        </w:rPr>
        <w:t>根据食品追溯信息系统的功能，本文件主要针对在食品生产、流通和消费等环节中的生产环节追溯、流通环节追溯、消费者反馈追溯、紧急事件管理追溯以及提供统一的规范性数据接口5个功能模块提供评价。</w:t>
      </w:r>
    </w:p>
    <w:p>
      <w:pPr>
        <w:pStyle w:val="15"/>
        <w:ind w:firstLine="0" w:firstLineChars="0"/>
        <w:rPr>
          <w:szCs w:val="22"/>
        </w:rPr>
      </w:pPr>
    </w:p>
    <w:p>
      <w:pPr>
        <w:pStyle w:val="15"/>
        <w:ind w:firstLine="0" w:firstLineChars="0"/>
        <w:outlineLvl w:val="2"/>
        <w:rPr>
          <w:rFonts w:ascii="黑体" w:hAnsi="黑体" w:eastAsia="黑体" w:cs="黑体"/>
          <w:szCs w:val="22"/>
        </w:rPr>
      </w:pPr>
      <w:r>
        <w:rPr>
          <w:rFonts w:hint="eastAsia" w:ascii="黑体" w:hAnsi="黑体" w:eastAsia="黑体" w:cs="黑体"/>
          <w:szCs w:val="22"/>
        </w:rPr>
        <w:t>4.1 生产环节追溯</w:t>
      </w:r>
    </w:p>
    <w:p>
      <w:pPr>
        <w:pStyle w:val="15"/>
        <w:ind w:firstLineChars="0"/>
        <w:rPr>
          <w:szCs w:val="22"/>
        </w:rPr>
      </w:pPr>
      <w:r>
        <w:rPr>
          <w:rFonts w:hint="eastAsia"/>
          <w:szCs w:val="22"/>
        </w:rPr>
        <w:t>跟踪食品生产过程中的原材料、生产工艺、设备和操作人员等信息。</w:t>
      </w:r>
    </w:p>
    <w:p>
      <w:pPr>
        <w:pStyle w:val="15"/>
        <w:ind w:left="420" w:firstLine="0" w:firstLineChars="0"/>
        <w:rPr>
          <w:szCs w:val="22"/>
        </w:rPr>
      </w:pPr>
    </w:p>
    <w:p>
      <w:pPr>
        <w:pStyle w:val="15"/>
        <w:ind w:firstLine="0" w:firstLineChars="0"/>
        <w:outlineLvl w:val="2"/>
        <w:rPr>
          <w:rFonts w:ascii="黑体" w:hAnsi="黑体" w:eastAsia="黑体" w:cs="黑体"/>
          <w:szCs w:val="22"/>
        </w:rPr>
      </w:pPr>
      <w:r>
        <w:rPr>
          <w:rFonts w:hint="eastAsia" w:ascii="黑体" w:hAnsi="黑体" w:eastAsia="黑体" w:cs="黑体"/>
          <w:szCs w:val="22"/>
        </w:rPr>
        <w:t>4.2 流通环节追溯</w:t>
      </w:r>
    </w:p>
    <w:p>
      <w:pPr>
        <w:pStyle w:val="15"/>
        <w:ind w:firstLineChars="0"/>
        <w:rPr>
          <w:szCs w:val="22"/>
        </w:rPr>
      </w:pPr>
      <w:r>
        <w:rPr>
          <w:rFonts w:hint="eastAsia" w:hAnsi="宋体" w:cs="宋体"/>
          <w:szCs w:val="22"/>
        </w:rPr>
        <w:t>追踪食品从生产到消费者手中的流通路径和经过的环节，包括</w:t>
      </w:r>
      <w:r>
        <w:rPr>
          <w:rFonts w:hint="eastAsia" w:hAnsi="宋体" w:cs="宋体"/>
          <w:szCs w:val="22"/>
          <w:lang w:val="en-US" w:eastAsia="zh-CN"/>
        </w:rPr>
        <w:t>采购、储存、运输、销售</w:t>
      </w:r>
      <w:r>
        <w:rPr>
          <w:rFonts w:hint="eastAsia" w:hAnsi="宋体" w:cs="宋体"/>
          <w:szCs w:val="22"/>
        </w:rPr>
        <w:t>等。</w:t>
      </w:r>
    </w:p>
    <w:p>
      <w:pPr>
        <w:pStyle w:val="15"/>
        <w:ind w:left="420" w:firstLine="0" w:firstLineChars="0"/>
        <w:rPr>
          <w:szCs w:val="22"/>
        </w:rPr>
      </w:pPr>
    </w:p>
    <w:p>
      <w:pPr>
        <w:pStyle w:val="15"/>
        <w:ind w:firstLine="0" w:firstLineChars="0"/>
        <w:outlineLvl w:val="2"/>
        <w:rPr>
          <w:rFonts w:ascii="黑体" w:hAnsi="黑体" w:eastAsia="黑体" w:cs="黑体"/>
          <w:szCs w:val="22"/>
        </w:rPr>
      </w:pPr>
      <w:r>
        <w:rPr>
          <w:rFonts w:hint="eastAsia" w:ascii="黑体" w:hAnsi="黑体" w:eastAsia="黑体" w:cs="黑体"/>
          <w:szCs w:val="22"/>
        </w:rPr>
        <w:t>4.3 消费者反馈追溯</w:t>
      </w:r>
    </w:p>
    <w:p>
      <w:pPr>
        <w:pStyle w:val="15"/>
        <w:ind w:firstLineChars="0"/>
        <w:rPr>
          <w:szCs w:val="22"/>
        </w:rPr>
      </w:pPr>
      <w:r>
        <w:rPr>
          <w:rFonts w:hint="eastAsia"/>
          <w:szCs w:val="22"/>
        </w:rPr>
        <w:t>收集消费者对食品质量安全的反馈信息，如投诉、退货、检测结果等。</w:t>
      </w:r>
    </w:p>
    <w:p>
      <w:pPr>
        <w:pStyle w:val="15"/>
        <w:ind w:left="420" w:firstLine="0" w:firstLineChars="0"/>
        <w:rPr>
          <w:szCs w:val="22"/>
        </w:rPr>
      </w:pPr>
    </w:p>
    <w:p>
      <w:pPr>
        <w:pStyle w:val="15"/>
        <w:ind w:firstLine="0" w:firstLineChars="0"/>
        <w:outlineLvl w:val="2"/>
        <w:rPr>
          <w:rFonts w:ascii="黑体" w:hAnsi="黑体" w:eastAsia="黑体" w:cs="黑体"/>
          <w:szCs w:val="22"/>
        </w:rPr>
      </w:pPr>
      <w:r>
        <w:rPr>
          <w:rFonts w:hint="eastAsia" w:ascii="黑体" w:hAnsi="黑体" w:eastAsia="黑体" w:cs="黑体"/>
          <w:szCs w:val="22"/>
        </w:rPr>
        <w:t>4.4 紧急事件管理追溯</w:t>
      </w:r>
    </w:p>
    <w:p>
      <w:pPr>
        <w:pStyle w:val="15"/>
        <w:ind w:firstLineChars="0"/>
        <w:rPr>
          <w:szCs w:val="22"/>
        </w:rPr>
      </w:pPr>
      <w:r>
        <w:rPr>
          <w:rFonts w:hint="eastAsia"/>
          <w:szCs w:val="22"/>
        </w:rPr>
        <w:t>应对突发事件或紧急情况时，快速追踪受影响的食品批次及其流向，并采取相应措施。</w:t>
      </w:r>
    </w:p>
    <w:p>
      <w:pPr>
        <w:pStyle w:val="15"/>
        <w:ind w:firstLineChars="0"/>
        <w:rPr>
          <w:szCs w:val="22"/>
        </w:rPr>
      </w:pPr>
    </w:p>
    <w:p>
      <w:pPr>
        <w:pStyle w:val="15"/>
        <w:ind w:firstLine="0" w:firstLineChars="0"/>
        <w:outlineLvl w:val="2"/>
        <w:rPr>
          <w:rFonts w:ascii="黑体" w:hAnsi="黑体" w:eastAsia="黑体" w:cs="黑体"/>
          <w:szCs w:val="22"/>
        </w:rPr>
      </w:pPr>
      <w:r>
        <w:rPr>
          <w:rFonts w:hint="eastAsia" w:ascii="黑体" w:hAnsi="黑体" w:eastAsia="黑体" w:cs="黑体"/>
          <w:szCs w:val="22"/>
        </w:rPr>
        <w:t>4.5 提供统一的规范性数据接口</w:t>
      </w:r>
    </w:p>
    <w:p>
      <w:pPr>
        <w:pStyle w:val="15"/>
        <w:ind w:firstLineChars="0"/>
        <w:rPr>
          <w:szCs w:val="22"/>
        </w:rPr>
      </w:pPr>
      <w:r>
        <w:rPr>
          <w:rFonts w:hint="eastAsia"/>
          <w:szCs w:val="22"/>
        </w:rPr>
        <w:t>针对跨国贸易或不同行业之间的合作，提供统一的数据共享接口，且接口需符合编码规范。</w:t>
      </w:r>
    </w:p>
    <w:p>
      <w:pPr>
        <w:pStyle w:val="17"/>
        <w:spacing w:before="312" w:after="312"/>
        <w:ind w:left="0"/>
        <w:rPr>
          <w:szCs w:val="22"/>
        </w:rPr>
      </w:pPr>
      <w:bookmarkStart w:id="36" w:name="_Toc14192"/>
      <w:bookmarkStart w:id="37" w:name="_Toc499402352"/>
      <w:r>
        <w:rPr>
          <w:rFonts w:hint="eastAsia"/>
          <w:szCs w:val="22"/>
        </w:rPr>
        <w:t>食品追溯信息系统评价方法</w:t>
      </w:r>
      <w:bookmarkEnd w:id="36"/>
    </w:p>
    <w:p>
      <w:pPr>
        <w:pStyle w:val="18"/>
        <w:numPr>
          <w:ilvl w:val="1"/>
          <w:numId w:val="0"/>
        </w:numPr>
        <w:spacing w:before="156" w:after="156"/>
        <w:rPr>
          <w:szCs w:val="22"/>
        </w:rPr>
      </w:pPr>
      <w:bookmarkStart w:id="38" w:name="_Toc29894"/>
      <w:bookmarkStart w:id="39" w:name="_Toc14694"/>
      <w:r>
        <w:rPr>
          <w:rFonts w:hint="eastAsia"/>
          <w:szCs w:val="22"/>
        </w:rPr>
        <w:t>5.1 总体框架</w:t>
      </w:r>
      <w:bookmarkEnd w:id="38"/>
      <w:bookmarkEnd w:id="39"/>
    </w:p>
    <w:p>
      <w:pPr>
        <w:pStyle w:val="19"/>
        <w:shd w:val="clear" w:color="auto" w:fill="auto"/>
        <w:spacing w:after="220"/>
        <w:ind w:right="480" w:firstLine="460"/>
        <w:rPr>
          <w:rFonts w:ascii="宋体" w:hAnsi="宋体" w:eastAsia="宋体" w:cs="宋体"/>
          <w:sz w:val="21"/>
          <w:szCs w:val="22"/>
        </w:rPr>
      </w:pPr>
      <w:r>
        <w:rPr>
          <w:rFonts w:hint="eastAsia" w:ascii="宋体" w:hAnsi="宋体" w:eastAsia="宋体" w:cs="宋体"/>
          <w:sz w:val="21"/>
          <w:szCs w:val="22"/>
          <w:lang w:val="zh-CN"/>
        </w:rPr>
        <w:t>食品追溯</w:t>
      </w:r>
      <w:r>
        <w:rPr>
          <w:rFonts w:hint="eastAsia" w:ascii="宋体" w:hAnsi="宋体" w:eastAsia="宋体" w:cs="宋体"/>
          <w:sz w:val="21"/>
          <w:szCs w:val="22"/>
        </w:rPr>
        <w:t>信息系统</w:t>
      </w:r>
      <w:r>
        <w:rPr>
          <w:rFonts w:hint="eastAsia" w:ascii="宋体" w:hAnsi="宋体" w:eastAsia="宋体" w:cs="宋体"/>
          <w:sz w:val="21"/>
          <w:szCs w:val="22"/>
          <w:lang w:val="zh-CN"/>
        </w:rPr>
        <w:t>评价由</w:t>
      </w:r>
      <w:r>
        <w:rPr>
          <w:rFonts w:hint="eastAsia" w:ascii="宋体" w:hAnsi="宋体" w:eastAsia="宋体" w:cs="宋体"/>
          <w:sz w:val="21"/>
          <w:szCs w:val="22"/>
        </w:rPr>
        <w:t>合规性评价</w:t>
      </w:r>
      <w:r>
        <w:rPr>
          <w:rFonts w:hint="eastAsia" w:ascii="宋体" w:hAnsi="宋体" w:eastAsia="宋体" w:cs="宋体"/>
          <w:sz w:val="21"/>
          <w:szCs w:val="22"/>
          <w:lang w:val="zh-CN"/>
        </w:rPr>
        <w:t>、</w:t>
      </w:r>
      <w:r>
        <w:rPr>
          <w:rFonts w:hint="eastAsia" w:ascii="宋体" w:hAnsi="宋体" w:eastAsia="宋体" w:cs="宋体"/>
          <w:sz w:val="21"/>
          <w:szCs w:val="22"/>
        </w:rPr>
        <w:t>系统安全性评价</w:t>
      </w:r>
      <w:r>
        <w:rPr>
          <w:rFonts w:hint="eastAsia" w:ascii="宋体" w:hAnsi="宋体" w:eastAsia="宋体" w:cs="宋体"/>
          <w:sz w:val="21"/>
          <w:szCs w:val="22"/>
          <w:lang w:val="zh-CN"/>
        </w:rPr>
        <w:t>、</w:t>
      </w:r>
      <w:r>
        <w:rPr>
          <w:rFonts w:hint="eastAsia" w:ascii="宋体" w:hAnsi="宋体" w:eastAsia="宋体" w:cs="宋体"/>
          <w:sz w:val="21"/>
          <w:szCs w:val="22"/>
        </w:rPr>
        <w:t>追溯覆盖度</w:t>
      </w:r>
      <w:r>
        <w:rPr>
          <w:rFonts w:hint="eastAsia" w:ascii="宋体" w:hAnsi="宋体" w:eastAsia="宋体" w:cs="宋体"/>
          <w:sz w:val="21"/>
          <w:szCs w:val="22"/>
          <w:lang w:val="zh-CN"/>
        </w:rPr>
        <w:t>、</w:t>
      </w:r>
      <w:r>
        <w:rPr>
          <w:rFonts w:hint="eastAsia" w:ascii="宋体" w:hAnsi="宋体" w:eastAsia="宋体" w:cs="宋体"/>
          <w:sz w:val="21"/>
          <w:szCs w:val="22"/>
        </w:rPr>
        <w:t>追溯完备度</w:t>
      </w:r>
      <w:r>
        <w:rPr>
          <w:rFonts w:hint="eastAsia" w:ascii="宋体" w:hAnsi="宋体" w:eastAsia="宋体" w:cs="宋体"/>
          <w:sz w:val="21"/>
          <w:szCs w:val="22"/>
          <w:lang w:val="zh-CN"/>
        </w:rPr>
        <w:t>、</w:t>
      </w:r>
      <w:r>
        <w:rPr>
          <w:rFonts w:hint="eastAsia" w:ascii="宋体" w:hAnsi="宋体" w:eastAsia="宋体" w:cs="宋体"/>
          <w:sz w:val="21"/>
          <w:szCs w:val="22"/>
        </w:rPr>
        <w:t>系统性能、系统实际运行效果6</w:t>
      </w:r>
      <w:r>
        <w:rPr>
          <w:rFonts w:hint="eastAsia" w:ascii="宋体" w:hAnsi="宋体" w:eastAsia="宋体" w:cs="宋体"/>
          <w:sz w:val="21"/>
          <w:szCs w:val="22"/>
          <w:lang w:val="zh-CN"/>
        </w:rPr>
        <w:t>个评价模块组成。</w:t>
      </w:r>
    </w:p>
    <w:p>
      <w:pPr>
        <w:pStyle w:val="18"/>
        <w:numPr>
          <w:ilvl w:val="1"/>
          <w:numId w:val="0"/>
        </w:numPr>
        <w:spacing w:before="156" w:after="156"/>
        <w:rPr>
          <w:szCs w:val="22"/>
        </w:rPr>
      </w:pPr>
      <w:bookmarkStart w:id="40" w:name="_Toc18180"/>
      <w:bookmarkStart w:id="41" w:name="_Toc14184"/>
      <w:r>
        <w:rPr>
          <w:rFonts w:hint="eastAsia"/>
          <w:szCs w:val="22"/>
        </w:rPr>
        <w:t>5.2 评价模块</w:t>
      </w:r>
      <w:bookmarkEnd w:id="40"/>
      <w:bookmarkEnd w:id="41"/>
    </w:p>
    <w:p>
      <w:pPr>
        <w:pStyle w:val="20"/>
        <w:numPr>
          <w:ilvl w:val="2"/>
          <w:numId w:val="0"/>
        </w:numPr>
        <w:spacing w:before="156" w:after="156"/>
      </w:pPr>
      <w:r>
        <w:rPr>
          <w:rFonts w:hint="eastAsia"/>
        </w:rPr>
        <w:t>5.2.1 合规性评价</w:t>
      </w:r>
    </w:p>
    <w:p>
      <w:pPr>
        <w:pStyle w:val="15"/>
      </w:pPr>
      <w:r>
        <w:rPr>
          <w:rFonts w:hint="eastAsia"/>
        </w:rPr>
        <w:t>合规性评价指食品追溯信息系统是否符合相关法律法规、规章制度、标准和规范要求。</w:t>
      </w:r>
    </w:p>
    <w:p>
      <w:pPr>
        <w:pStyle w:val="20"/>
        <w:numPr>
          <w:ilvl w:val="2"/>
          <w:numId w:val="0"/>
        </w:numPr>
        <w:spacing w:before="156" w:after="156"/>
      </w:pPr>
      <w:r>
        <w:rPr>
          <w:rFonts w:hint="eastAsia"/>
        </w:rPr>
        <w:t>5.2.2 系统安全性评价</w:t>
      </w:r>
    </w:p>
    <w:p>
      <w:pPr>
        <w:pStyle w:val="15"/>
      </w:pPr>
      <w:r>
        <w:rPr>
          <w:rFonts w:hint="eastAsia"/>
        </w:rPr>
        <w:t>系统安全性评价指围绕食品追溯信息系统，分别从管理安全、技术安全两大方面进行具体要求。其中管理安全侧重于规章制度建设，技术安全侧重个人信息安全、数据安全、系统网络安全等。</w:t>
      </w:r>
    </w:p>
    <w:p>
      <w:pPr>
        <w:pStyle w:val="20"/>
        <w:numPr>
          <w:ilvl w:val="2"/>
          <w:numId w:val="0"/>
        </w:numPr>
        <w:spacing w:before="156" w:after="156"/>
      </w:pPr>
      <w:r>
        <w:rPr>
          <w:rFonts w:hint="eastAsia"/>
        </w:rPr>
        <w:t>5.2.3 追溯覆盖度</w:t>
      </w:r>
    </w:p>
    <w:p>
      <w:pPr>
        <w:pStyle w:val="15"/>
      </w:pPr>
      <w:r>
        <w:rPr>
          <w:rFonts w:hint="eastAsia"/>
        </w:rPr>
        <w:t>追溯覆盖度指衡量食品追溯信息系统能够追溯的生产、流通和消费等环节的范围。该指标可从以下方面进行评价：是否能够追溯原材料来源；是否能够记录生产过程；是否能够记录检验过程；是否能够记录</w:t>
      </w:r>
      <w:r>
        <w:rPr>
          <w:rFonts w:hint="eastAsia"/>
          <w:lang w:val="en-US" w:eastAsia="zh-CN"/>
        </w:rPr>
        <w:t>流通</w:t>
      </w:r>
      <w:r>
        <w:rPr>
          <w:rFonts w:hint="eastAsia"/>
        </w:rPr>
        <w:t>过程；是否能够问题追溯。</w:t>
      </w:r>
    </w:p>
    <w:p>
      <w:pPr>
        <w:pStyle w:val="20"/>
        <w:numPr>
          <w:ilvl w:val="2"/>
          <w:numId w:val="0"/>
        </w:numPr>
        <w:spacing w:before="156" w:after="156"/>
      </w:pPr>
      <w:r>
        <w:rPr>
          <w:rFonts w:hint="eastAsia"/>
        </w:rPr>
        <w:t>5.2.4 追溯完备度</w:t>
      </w:r>
    </w:p>
    <w:p>
      <w:pPr>
        <w:pStyle w:val="15"/>
      </w:pPr>
      <w:r>
        <w:rPr>
          <w:rFonts w:hint="eastAsia"/>
        </w:rPr>
        <w:t>追溯完备度指食品追溯信息系统可追溯到的信息完整程度，包括数据采集完备度、流程管理完备度、分析预警完备度、问题追溯完备度和追溯编码共享度。</w:t>
      </w:r>
    </w:p>
    <w:p>
      <w:pPr>
        <w:pStyle w:val="20"/>
        <w:numPr>
          <w:ilvl w:val="2"/>
          <w:numId w:val="0"/>
        </w:numPr>
        <w:spacing w:before="156" w:after="156"/>
      </w:pPr>
      <w:r>
        <w:rPr>
          <w:rFonts w:hint="eastAsia"/>
        </w:rPr>
        <w:t>5.2.5 系统性能</w:t>
      </w:r>
    </w:p>
    <w:p>
      <w:pPr>
        <w:pStyle w:val="15"/>
      </w:pPr>
      <w:r>
        <w:rPr>
          <w:rFonts w:hint="eastAsia"/>
        </w:rPr>
        <w:t>系统性能是指食品追溯信息系统在特定条件下的响应速度、吞吐量、并发量方面的表现。</w:t>
      </w:r>
    </w:p>
    <w:p>
      <w:pPr>
        <w:pStyle w:val="20"/>
        <w:numPr>
          <w:ilvl w:val="2"/>
          <w:numId w:val="0"/>
        </w:numPr>
        <w:spacing w:before="156" w:after="156"/>
      </w:pPr>
      <w:r>
        <w:rPr>
          <w:rFonts w:hint="eastAsia"/>
        </w:rPr>
        <w:t>5.2.6 系统实际运行效果</w:t>
      </w:r>
    </w:p>
    <w:p>
      <w:pPr>
        <w:pStyle w:val="15"/>
      </w:pPr>
      <w:r>
        <w:rPr>
          <w:rFonts w:hint="eastAsia"/>
        </w:rPr>
        <w:t>系统实际运行效果表现在使用系统的企业数量、已有的数据规模、实际追溯的案例效果和客户评分。</w:t>
      </w:r>
    </w:p>
    <w:p>
      <w:pPr>
        <w:pStyle w:val="18"/>
        <w:numPr>
          <w:ilvl w:val="1"/>
          <w:numId w:val="0"/>
        </w:numPr>
        <w:spacing w:before="156" w:after="156"/>
        <w:rPr>
          <w:szCs w:val="22"/>
        </w:rPr>
      </w:pPr>
      <w:bookmarkStart w:id="42" w:name="_Toc32116"/>
      <w:bookmarkStart w:id="43" w:name="_Toc499402355"/>
      <w:bookmarkStart w:id="44" w:name="_Toc19044"/>
      <w:r>
        <w:rPr>
          <w:rFonts w:hint="eastAsia"/>
          <w:szCs w:val="22"/>
        </w:rPr>
        <w:t>5.3 评价内容及指标权重值</w:t>
      </w:r>
      <w:bookmarkEnd w:id="42"/>
      <w:bookmarkEnd w:id="43"/>
      <w:bookmarkEnd w:id="44"/>
    </w:p>
    <w:p>
      <w:pPr>
        <w:pStyle w:val="15"/>
        <w:rPr>
          <w:rFonts w:hAnsi="宋体"/>
          <w:szCs w:val="21"/>
        </w:rPr>
      </w:pPr>
      <w:r>
        <w:rPr>
          <w:rFonts w:hint="eastAsia" w:hAnsi="宋体"/>
          <w:szCs w:val="21"/>
        </w:rPr>
        <w:t>各指标评分标准及权重值见评价指标体系（附件</w:t>
      </w:r>
      <w:r>
        <w:rPr>
          <w:rFonts w:hAnsi="宋体"/>
          <w:szCs w:val="21"/>
        </w:rPr>
        <w:t>1</w:t>
      </w:r>
      <w:r>
        <w:rPr>
          <w:rFonts w:hint="eastAsia" w:hAnsi="宋体"/>
          <w:szCs w:val="21"/>
        </w:rPr>
        <w:t>）。</w:t>
      </w:r>
    </w:p>
    <w:p>
      <w:pPr>
        <w:pStyle w:val="17"/>
        <w:spacing w:before="312" w:after="312"/>
        <w:ind w:left="0"/>
        <w:rPr>
          <w:szCs w:val="22"/>
        </w:rPr>
      </w:pPr>
      <w:bookmarkStart w:id="45" w:name="_Toc499402357"/>
      <w:bookmarkStart w:id="46" w:name="_Toc276469374"/>
      <w:bookmarkStart w:id="47" w:name="_Toc493076928"/>
      <w:bookmarkStart w:id="48" w:name="_Toc278457004"/>
      <w:bookmarkStart w:id="49" w:name="_Toc278457031"/>
      <w:bookmarkStart w:id="50" w:name="_Toc277937312"/>
      <w:bookmarkStart w:id="51" w:name="_Toc11992"/>
      <w:r>
        <w:rPr>
          <w:rFonts w:hint="eastAsia"/>
          <w:szCs w:val="22"/>
        </w:rPr>
        <w:t>考核评分计算方法</w:t>
      </w:r>
      <w:bookmarkEnd w:id="45"/>
      <w:bookmarkEnd w:id="46"/>
      <w:bookmarkEnd w:id="47"/>
      <w:bookmarkEnd w:id="48"/>
      <w:bookmarkEnd w:id="49"/>
      <w:bookmarkEnd w:id="50"/>
      <w:bookmarkEnd w:id="51"/>
    </w:p>
    <w:p>
      <w:pPr>
        <w:pStyle w:val="18"/>
        <w:numPr>
          <w:ilvl w:val="1"/>
          <w:numId w:val="0"/>
        </w:numPr>
        <w:spacing w:before="156" w:after="156"/>
        <w:rPr>
          <w:szCs w:val="22"/>
        </w:rPr>
      </w:pPr>
      <w:bookmarkStart w:id="52" w:name="_Toc27402"/>
      <w:bookmarkStart w:id="53" w:name="_Toc18432"/>
      <w:r>
        <w:rPr>
          <w:rFonts w:hint="eastAsia"/>
          <w:szCs w:val="22"/>
        </w:rPr>
        <w:t>6.1 计算方法</w:t>
      </w:r>
      <w:bookmarkEnd w:id="52"/>
      <w:bookmarkEnd w:id="53"/>
    </w:p>
    <w:p>
      <w:pPr>
        <w:pStyle w:val="15"/>
        <w:rPr>
          <w:rFonts w:hAnsi="宋体"/>
          <w:szCs w:val="21"/>
        </w:rPr>
      </w:pPr>
      <w:r>
        <w:rPr>
          <w:rFonts w:hint="eastAsia" w:hAnsi="宋体"/>
          <w:szCs w:val="21"/>
        </w:rPr>
        <w:t>食品追溯信息系统评价采用综合评价指数判定。综合评价指数按下式计算：</w:t>
      </w:r>
    </w:p>
    <w:p>
      <w:pPr>
        <w:pStyle w:val="15"/>
        <w:rPr>
          <w:rFonts w:hAnsi="宋体"/>
          <w:szCs w:val="21"/>
        </w:rPr>
      </w:pPr>
      <w:bookmarkStart w:id="54" w:name="_Toc277937313"/>
      <w:bookmarkStart w:id="55" w:name="_Toc276469376"/>
      <w:bookmarkStart w:id="56" w:name="_Toc278457005"/>
      <w:bookmarkStart w:id="57" w:name="_Toc278457032"/>
      <w:r>
        <w:rPr>
          <w:rFonts w:hAnsi="宋体"/>
          <w:position w:val="-24"/>
          <w:szCs w:val="21"/>
        </w:rPr>
        <w:object>
          <v:shape id="_x0000_i1025" o:spt="75" type="#_x0000_t75" style="height:33.75pt;width:74.5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pStyle w:val="15"/>
        <w:rPr>
          <w:rFonts w:hAnsi="宋体"/>
          <w:szCs w:val="21"/>
        </w:rPr>
      </w:pPr>
      <w:r>
        <w:rPr>
          <w:rFonts w:hAnsi="宋体"/>
          <w:szCs w:val="21"/>
          <w:u w:val="single"/>
        </w:rPr>
        <w:t>P</w:t>
      </w:r>
      <w:r>
        <w:rPr>
          <w:rFonts w:hAnsi="宋体"/>
          <w:szCs w:val="21"/>
        </w:rPr>
        <w:t>——</w:t>
      </w:r>
      <w:r>
        <w:rPr>
          <w:rFonts w:hint="eastAsia" w:hAnsi="宋体"/>
          <w:szCs w:val="21"/>
        </w:rPr>
        <w:t>食品追溯信息系统的综合评价分值；</w:t>
      </w:r>
    </w:p>
    <w:p>
      <w:pPr>
        <w:pStyle w:val="15"/>
        <w:rPr>
          <w:rFonts w:hAnsi="宋体"/>
          <w:szCs w:val="21"/>
        </w:rPr>
      </w:pPr>
      <w:r>
        <w:rPr>
          <w:rFonts w:hAnsi="宋体"/>
          <w:szCs w:val="21"/>
        </w:rPr>
        <w:t>M——</w:t>
      </w:r>
      <w:r>
        <w:rPr>
          <w:rFonts w:hint="eastAsia" w:hAnsi="宋体"/>
          <w:szCs w:val="21"/>
        </w:rPr>
        <w:t>定性项分值；</w:t>
      </w:r>
    </w:p>
    <w:p>
      <w:pPr>
        <w:pStyle w:val="15"/>
        <w:rPr>
          <w:rFonts w:hAnsi="宋体"/>
          <w:szCs w:val="21"/>
        </w:rPr>
      </w:pPr>
      <w:r>
        <w:rPr>
          <w:rFonts w:hAnsi="宋体"/>
          <w:szCs w:val="21"/>
        </w:rPr>
        <w:t>Si——</w:t>
      </w:r>
      <w:r>
        <w:rPr>
          <w:rFonts w:hint="eastAsia" w:hAnsi="宋体"/>
          <w:szCs w:val="21"/>
        </w:rPr>
        <w:t>第</w:t>
      </w:r>
      <w:r>
        <w:rPr>
          <w:rFonts w:hAnsi="宋体"/>
          <w:szCs w:val="21"/>
        </w:rPr>
        <w:t>i</w:t>
      </w:r>
      <w:r>
        <w:rPr>
          <w:rFonts w:hint="eastAsia" w:hAnsi="宋体"/>
          <w:szCs w:val="21"/>
        </w:rPr>
        <w:t>项评价指标的单项评价分值；</w:t>
      </w:r>
    </w:p>
    <w:p>
      <w:pPr>
        <w:pStyle w:val="15"/>
        <w:rPr>
          <w:rFonts w:hAnsi="宋体"/>
          <w:szCs w:val="21"/>
        </w:rPr>
      </w:pPr>
      <w:r>
        <w:rPr>
          <w:rFonts w:hAnsi="宋体"/>
          <w:szCs w:val="21"/>
        </w:rPr>
        <w:t>Ki——</w:t>
      </w:r>
      <w:r>
        <w:rPr>
          <w:rFonts w:hint="eastAsia" w:hAnsi="宋体"/>
          <w:szCs w:val="21"/>
        </w:rPr>
        <w:t>第</w:t>
      </w:r>
      <w:r>
        <w:rPr>
          <w:rFonts w:hAnsi="宋体"/>
          <w:szCs w:val="21"/>
        </w:rPr>
        <w:t>i</w:t>
      </w:r>
      <w:r>
        <w:rPr>
          <w:rFonts w:hint="eastAsia" w:hAnsi="宋体"/>
          <w:szCs w:val="21"/>
        </w:rPr>
        <w:t>项评价指标的权重值。</w:t>
      </w:r>
    </w:p>
    <w:p>
      <w:pPr>
        <w:pStyle w:val="18"/>
        <w:numPr>
          <w:ilvl w:val="1"/>
          <w:numId w:val="0"/>
        </w:numPr>
        <w:spacing w:before="156" w:after="156"/>
        <w:rPr>
          <w:szCs w:val="22"/>
        </w:rPr>
      </w:pPr>
      <w:bookmarkStart w:id="58" w:name="_Toc12862"/>
      <w:bookmarkStart w:id="59" w:name="_Toc2567"/>
      <w:r>
        <w:rPr>
          <w:rFonts w:hint="eastAsia"/>
          <w:szCs w:val="22"/>
        </w:rPr>
        <w:t>6.2 结果表示</w:t>
      </w:r>
      <w:bookmarkEnd w:id="58"/>
      <w:bookmarkEnd w:id="59"/>
    </w:p>
    <w:p>
      <w:pPr>
        <w:pStyle w:val="15"/>
        <w:rPr>
          <w:rFonts w:hAnsi="宋体"/>
          <w:szCs w:val="21"/>
        </w:rPr>
      </w:pPr>
      <w:r>
        <w:rPr>
          <w:rFonts w:hint="eastAsia" w:hAnsi="宋体"/>
          <w:szCs w:val="21"/>
        </w:rPr>
        <w:t>能够全面、系统反映食品追溯信息系统的追溯能力，对于具备一定</w:t>
      </w:r>
      <w:r>
        <w:rPr>
          <w:rFonts w:hint="eastAsia" w:hAnsi="宋体"/>
          <w:szCs w:val="21"/>
          <w:lang w:val="en-US" w:eastAsia="zh-CN"/>
        </w:rPr>
        <w:t>可追溯性</w:t>
      </w:r>
      <w:r>
        <w:rPr>
          <w:rFonts w:hint="eastAsia" w:hAnsi="宋体"/>
          <w:szCs w:val="21"/>
        </w:rPr>
        <w:t>的食品追溯信息系统，按照表</w:t>
      </w:r>
      <w:r>
        <w:rPr>
          <w:rFonts w:hAnsi="宋体"/>
          <w:szCs w:val="21"/>
        </w:rPr>
        <w:t>1</w:t>
      </w:r>
      <w:r>
        <w:rPr>
          <w:rFonts w:hint="eastAsia" w:hAnsi="宋体"/>
          <w:szCs w:val="21"/>
        </w:rPr>
        <w:t>评价指标分为</w:t>
      </w:r>
      <w:r>
        <w:rPr>
          <w:rFonts w:hAnsi="宋体"/>
          <w:szCs w:val="21"/>
        </w:rPr>
        <w:t>AAAAA</w:t>
      </w:r>
      <w:r>
        <w:rPr>
          <w:rFonts w:hint="eastAsia" w:hAnsi="宋体"/>
          <w:szCs w:val="21"/>
        </w:rPr>
        <w:t>、</w:t>
      </w:r>
      <w:r>
        <w:rPr>
          <w:rFonts w:hAnsi="宋体"/>
          <w:szCs w:val="21"/>
        </w:rPr>
        <w:t>AAAA</w:t>
      </w:r>
      <w:r>
        <w:rPr>
          <w:rFonts w:hint="eastAsia" w:hAnsi="宋体"/>
          <w:szCs w:val="21"/>
        </w:rPr>
        <w:t>、</w:t>
      </w:r>
      <w:r>
        <w:rPr>
          <w:rFonts w:hAnsi="宋体"/>
          <w:szCs w:val="21"/>
        </w:rPr>
        <w:t>AAA</w:t>
      </w:r>
      <w:r>
        <w:rPr>
          <w:rFonts w:hint="eastAsia" w:hAnsi="宋体"/>
          <w:szCs w:val="21"/>
        </w:rPr>
        <w:t>、</w:t>
      </w:r>
      <w:r>
        <w:rPr>
          <w:rFonts w:hAnsi="宋体"/>
          <w:szCs w:val="21"/>
        </w:rPr>
        <w:t>AA</w:t>
      </w:r>
      <w:r>
        <w:rPr>
          <w:rFonts w:hint="eastAsia" w:hAnsi="宋体"/>
          <w:szCs w:val="21"/>
        </w:rPr>
        <w:t>、</w:t>
      </w:r>
      <w:r>
        <w:rPr>
          <w:rFonts w:hAnsi="宋体"/>
          <w:szCs w:val="21"/>
        </w:rPr>
        <w:t>A</w:t>
      </w:r>
      <w:r>
        <w:rPr>
          <w:rFonts w:hint="eastAsia" w:hAnsi="宋体"/>
          <w:szCs w:val="21"/>
        </w:rPr>
        <w:t>五个等级，</w:t>
      </w:r>
      <w:r>
        <w:rPr>
          <w:rFonts w:hAnsi="宋体"/>
          <w:szCs w:val="21"/>
        </w:rPr>
        <w:t>AAAAA</w:t>
      </w:r>
      <w:r>
        <w:rPr>
          <w:rFonts w:hint="eastAsia" w:hAnsi="宋体"/>
          <w:szCs w:val="21"/>
        </w:rPr>
        <w:t>为最高，依次降低。</w:t>
      </w:r>
    </w:p>
    <w:bookmarkEnd w:id="54"/>
    <w:bookmarkEnd w:id="55"/>
    <w:bookmarkEnd w:id="56"/>
    <w:bookmarkEnd w:id="57"/>
    <w:p>
      <w:pPr>
        <w:pStyle w:val="15"/>
        <w:rPr>
          <w:rFonts w:hAnsi="宋体"/>
          <w:szCs w:val="21"/>
        </w:rPr>
      </w:pPr>
      <w:bookmarkStart w:id="60" w:name="_Toc499402359"/>
      <w:bookmarkEnd w:id="60"/>
      <w:r>
        <w:rPr>
          <w:rFonts w:hint="eastAsia" w:hAnsi="宋体"/>
          <w:szCs w:val="21"/>
        </w:rPr>
        <w:t>根据实际评价分值</w:t>
      </w:r>
      <w:r>
        <w:rPr>
          <w:rFonts w:hAnsi="宋体"/>
          <w:szCs w:val="21"/>
        </w:rPr>
        <w:t>P</w:t>
      </w:r>
      <w:r>
        <w:rPr>
          <w:rFonts w:hint="eastAsia" w:hAnsi="宋体"/>
          <w:szCs w:val="21"/>
        </w:rPr>
        <w:t>，食品追溯信息系统不同等级的评定标准如下表。</w:t>
      </w:r>
    </w:p>
    <w:p>
      <w:pPr>
        <w:pStyle w:val="15"/>
        <w:jc w:val="center"/>
        <w:rPr>
          <w:rFonts w:hint="eastAsia" w:ascii="黑体" w:hAnsi="黑体" w:eastAsia="黑体" w:cs="黑体"/>
          <w:szCs w:val="21"/>
          <w:lang w:eastAsia="zh-CN"/>
        </w:rPr>
      </w:pPr>
      <w:r>
        <w:rPr>
          <w:rFonts w:hint="eastAsia" w:ascii="黑体" w:hAnsi="黑体" w:eastAsia="黑体" w:cs="黑体"/>
          <w:szCs w:val="21"/>
        </w:rPr>
        <w:t>表1 食品追溯信息系统评定分类标准</w:t>
      </w:r>
    </w:p>
    <w:p>
      <w:pPr>
        <w:pStyle w:val="15"/>
        <w:jc w:val="center"/>
        <w:rPr>
          <w:rFonts w:hint="eastAsia" w:ascii="黑体" w:hAnsi="黑体" w:eastAsia="黑体" w:cs="黑体"/>
          <w:szCs w:val="21"/>
          <w:lang w:eastAsia="zh-CN"/>
        </w:rPr>
      </w:pPr>
    </w:p>
    <w:tbl>
      <w:tblPr>
        <w:tblStyle w:val="7"/>
        <w:tblW w:w="8785" w:type="dxa"/>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615"/>
        <w:gridCol w:w="417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0" w:hRule="atLeast"/>
          <w:jc w:val="center"/>
        </w:trPr>
        <w:tc>
          <w:tcPr>
            <w:tcW w:w="4615" w:type="dxa"/>
            <w:tcBorders>
              <w:left w:val="single" w:color="auto" w:sz="4" w:space="0"/>
              <w:right w:val="single" w:color="auto" w:sz="4" w:space="0"/>
            </w:tcBorders>
            <w:vAlign w:val="center"/>
          </w:tcPr>
          <w:p>
            <w:pPr>
              <w:jc w:val="center"/>
              <w:rPr>
                <w:rFonts w:ascii="宋体"/>
                <w:bCs/>
                <w:sz w:val="18"/>
                <w:szCs w:val="18"/>
              </w:rPr>
            </w:pPr>
            <w:r>
              <w:rPr>
                <w:rFonts w:hint="eastAsia" w:ascii="宋体"/>
                <w:bCs/>
                <w:sz w:val="18"/>
                <w:szCs w:val="18"/>
              </w:rPr>
              <w:t>食品追溯信息系统分类</w:t>
            </w:r>
          </w:p>
        </w:tc>
        <w:tc>
          <w:tcPr>
            <w:tcW w:w="4170" w:type="dxa"/>
            <w:tcBorders>
              <w:left w:val="single" w:color="auto" w:sz="4" w:space="0"/>
              <w:right w:val="single" w:color="auto" w:sz="4" w:space="0"/>
            </w:tcBorders>
            <w:vAlign w:val="center"/>
          </w:tcPr>
          <w:p>
            <w:pPr>
              <w:jc w:val="center"/>
              <w:rPr>
                <w:rFonts w:ascii="宋体"/>
                <w:bCs/>
                <w:sz w:val="18"/>
                <w:szCs w:val="18"/>
              </w:rPr>
            </w:pPr>
            <w:r>
              <w:rPr>
                <w:rFonts w:hint="eastAsia" w:ascii="宋体"/>
                <w:bCs/>
                <w:sz w:val="18"/>
                <w:szCs w:val="18"/>
              </w:rPr>
              <w:t>总评价分值</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0" w:hRule="atLeast"/>
          <w:jc w:val="center"/>
        </w:trPr>
        <w:tc>
          <w:tcPr>
            <w:tcW w:w="4615" w:type="dxa"/>
            <w:tcBorders>
              <w:left w:val="single" w:color="auto" w:sz="4" w:space="0"/>
              <w:right w:val="single" w:color="auto" w:sz="4" w:space="0"/>
            </w:tcBorders>
            <w:vAlign w:val="center"/>
          </w:tcPr>
          <w:p>
            <w:pPr>
              <w:jc w:val="center"/>
              <w:rPr>
                <w:rFonts w:ascii="宋体"/>
                <w:sz w:val="18"/>
                <w:szCs w:val="18"/>
              </w:rPr>
            </w:pPr>
            <w:r>
              <w:rPr>
                <w:szCs w:val="22"/>
              </w:rPr>
              <w:t>AAAAA</w:t>
            </w:r>
          </w:p>
        </w:tc>
        <w:tc>
          <w:tcPr>
            <w:tcW w:w="4170" w:type="dxa"/>
            <w:tcBorders>
              <w:left w:val="single" w:color="auto" w:sz="4" w:space="0"/>
              <w:right w:val="single" w:color="auto" w:sz="4" w:space="0"/>
            </w:tcBorders>
            <w:vAlign w:val="center"/>
          </w:tcPr>
          <w:p>
            <w:pPr>
              <w:jc w:val="center"/>
              <w:rPr>
                <w:rFonts w:ascii="宋体"/>
                <w:sz w:val="18"/>
                <w:szCs w:val="18"/>
              </w:rPr>
            </w:pPr>
            <w:r>
              <w:rPr>
                <w:rFonts w:hint="eastAsia" w:ascii="宋体"/>
                <w:sz w:val="18"/>
                <w:szCs w:val="18"/>
              </w:rPr>
              <w:t>90≤</w:t>
            </w:r>
            <w:r>
              <w:rPr>
                <w:rFonts w:ascii="宋体"/>
                <w:sz w:val="18"/>
                <w:szCs w:val="18"/>
              </w:rPr>
              <w:t>P</w:t>
            </w:r>
            <w:r>
              <w:rPr>
                <w:rFonts w:hint="eastAsia" w:ascii="宋体"/>
                <w:sz w:val="18"/>
                <w:szCs w:val="18"/>
              </w:rPr>
              <w:t>≤</w:t>
            </w:r>
            <w:r>
              <w:rPr>
                <w:rFonts w:ascii="宋体"/>
                <w:sz w:val="18"/>
                <w:szCs w:val="18"/>
              </w:rPr>
              <w:t>100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0" w:hRule="atLeast"/>
          <w:jc w:val="center"/>
        </w:trPr>
        <w:tc>
          <w:tcPr>
            <w:tcW w:w="4615" w:type="dxa"/>
            <w:tcBorders>
              <w:left w:val="single" w:color="auto" w:sz="4" w:space="0"/>
              <w:right w:val="single" w:color="auto" w:sz="4" w:space="0"/>
            </w:tcBorders>
            <w:vAlign w:val="center"/>
          </w:tcPr>
          <w:p>
            <w:pPr>
              <w:jc w:val="center"/>
              <w:rPr>
                <w:rFonts w:ascii="宋体"/>
                <w:sz w:val="18"/>
                <w:szCs w:val="18"/>
              </w:rPr>
            </w:pPr>
            <w:r>
              <w:rPr>
                <w:szCs w:val="22"/>
              </w:rPr>
              <w:t>AAAA</w:t>
            </w:r>
          </w:p>
        </w:tc>
        <w:tc>
          <w:tcPr>
            <w:tcW w:w="4170" w:type="dxa"/>
            <w:tcBorders>
              <w:left w:val="single" w:color="auto" w:sz="4" w:space="0"/>
              <w:right w:val="single" w:color="auto" w:sz="4" w:space="0"/>
            </w:tcBorders>
            <w:vAlign w:val="center"/>
          </w:tcPr>
          <w:p>
            <w:pPr>
              <w:jc w:val="center"/>
              <w:rPr>
                <w:rFonts w:ascii="宋体"/>
                <w:sz w:val="18"/>
                <w:szCs w:val="18"/>
              </w:rPr>
            </w:pPr>
            <w:r>
              <w:rPr>
                <w:rFonts w:hint="eastAsia" w:ascii="宋体"/>
                <w:sz w:val="18"/>
                <w:szCs w:val="18"/>
              </w:rPr>
              <w:t>75≤</w:t>
            </w:r>
            <w:r>
              <w:rPr>
                <w:rFonts w:ascii="宋体"/>
                <w:sz w:val="18"/>
                <w:szCs w:val="18"/>
              </w:rPr>
              <w:t>P</w:t>
            </w:r>
            <w:r>
              <w:rPr>
                <w:rFonts w:hint="eastAsia" w:ascii="宋体"/>
                <w:sz w:val="18"/>
                <w:szCs w:val="18"/>
              </w:rPr>
              <w:t>＜90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0" w:hRule="atLeast"/>
          <w:jc w:val="center"/>
        </w:trPr>
        <w:tc>
          <w:tcPr>
            <w:tcW w:w="4615" w:type="dxa"/>
            <w:tcBorders>
              <w:left w:val="single" w:color="auto" w:sz="4" w:space="0"/>
              <w:right w:val="single" w:color="auto" w:sz="4" w:space="0"/>
            </w:tcBorders>
            <w:vAlign w:val="center"/>
          </w:tcPr>
          <w:p>
            <w:pPr>
              <w:jc w:val="center"/>
              <w:rPr>
                <w:rFonts w:ascii="宋体"/>
                <w:sz w:val="18"/>
                <w:szCs w:val="18"/>
              </w:rPr>
            </w:pPr>
            <w:r>
              <w:rPr>
                <w:szCs w:val="22"/>
              </w:rPr>
              <w:t>AAA</w:t>
            </w:r>
          </w:p>
        </w:tc>
        <w:tc>
          <w:tcPr>
            <w:tcW w:w="4170" w:type="dxa"/>
            <w:tcBorders>
              <w:left w:val="single" w:color="auto" w:sz="4" w:space="0"/>
              <w:right w:val="single" w:color="auto" w:sz="4" w:space="0"/>
            </w:tcBorders>
            <w:vAlign w:val="center"/>
          </w:tcPr>
          <w:p>
            <w:pPr>
              <w:jc w:val="center"/>
              <w:rPr>
                <w:rFonts w:ascii="宋体"/>
                <w:sz w:val="18"/>
                <w:szCs w:val="18"/>
              </w:rPr>
            </w:pPr>
            <w:r>
              <w:rPr>
                <w:rFonts w:ascii="宋体"/>
                <w:sz w:val="18"/>
                <w:szCs w:val="18"/>
              </w:rPr>
              <w:t>60</w:t>
            </w:r>
            <w:r>
              <w:rPr>
                <w:rFonts w:hint="eastAsia" w:ascii="宋体"/>
                <w:sz w:val="18"/>
                <w:szCs w:val="18"/>
              </w:rPr>
              <w:t>≤</w:t>
            </w:r>
            <w:r>
              <w:rPr>
                <w:rFonts w:ascii="宋体"/>
                <w:sz w:val="18"/>
                <w:szCs w:val="18"/>
              </w:rPr>
              <w:t>P</w:t>
            </w:r>
            <w:r>
              <w:rPr>
                <w:rFonts w:hint="eastAsia" w:ascii="宋体"/>
                <w:sz w:val="18"/>
                <w:szCs w:val="18"/>
              </w:rPr>
              <w:t>＜</w:t>
            </w:r>
            <w:r>
              <w:rPr>
                <w:rFonts w:ascii="宋体"/>
                <w:sz w:val="18"/>
                <w:szCs w:val="18"/>
              </w:rPr>
              <w:t>7</w:t>
            </w:r>
            <w:r>
              <w:rPr>
                <w:rFonts w:hint="eastAsia" w:ascii="宋体"/>
                <w:sz w:val="18"/>
                <w:szCs w:val="18"/>
              </w:rPr>
              <w:t>5</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8" w:hRule="atLeast"/>
          <w:jc w:val="center"/>
        </w:trPr>
        <w:tc>
          <w:tcPr>
            <w:tcW w:w="4615" w:type="dxa"/>
            <w:tcBorders>
              <w:left w:val="single" w:color="auto" w:sz="4" w:space="0"/>
              <w:right w:val="single" w:color="auto" w:sz="4" w:space="0"/>
            </w:tcBorders>
            <w:vAlign w:val="center"/>
          </w:tcPr>
          <w:p>
            <w:pPr>
              <w:jc w:val="center"/>
              <w:rPr>
                <w:rFonts w:ascii="宋体"/>
                <w:sz w:val="18"/>
                <w:szCs w:val="18"/>
              </w:rPr>
            </w:pPr>
            <w:r>
              <w:rPr>
                <w:rFonts w:hint="eastAsia"/>
                <w:szCs w:val="22"/>
              </w:rPr>
              <w:t>AA</w:t>
            </w:r>
          </w:p>
        </w:tc>
        <w:tc>
          <w:tcPr>
            <w:tcW w:w="4170" w:type="dxa"/>
            <w:tcBorders>
              <w:left w:val="single" w:color="auto" w:sz="4" w:space="0"/>
              <w:right w:val="single" w:color="auto" w:sz="4" w:space="0"/>
            </w:tcBorders>
            <w:vAlign w:val="center"/>
          </w:tcPr>
          <w:p>
            <w:pPr>
              <w:jc w:val="center"/>
              <w:rPr>
                <w:rFonts w:ascii="宋体"/>
                <w:sz w:val="18"/>
                <w:szCs w:val="18"/>
              </w:rPr>
            </w:pPr>
            <w:r>
              <w:rPr>
                <w:rFonts w:hint="eastAsia" w:ascii="宋体"/>
                <w:sz w:val="18"/>
                <w:szCs w:val="18"/>
              </w:rPr>
              <w:t>3</w:t>
            </w:r>
            <w:r>
              <w:rPr>
                <w:rFonts w:ascii="宋体"/>
                <w:sz w:val="18"/>
                <w:szCs w:val="18"/>
              </w:rPr>
              <w:t>0</w:t>
            </w:r>
            <w:r>
              <w:rPr>
                <w:rFonts w:hint="eastAsia" w:ascii="宋体"/>
                <w:sz w:val="18"/>
                <w:szCs w:val="18"/>
              </w:rPr>
              <w:t>≤</w:t>
            </w:r>
            <w:r>
              <w:rPr>
                <w:rFonts w:ascii="宋体"/>
                <w:sz w:val="18"/>
                <w:szCs w:val="18"/>
              </w:rPr>
              <w:t>P</w:t>
            </w:r>
            <w:r>
              <w:rPr>
                <w:rFonts w:hint="eastAsia" w:ascii="宋体"/>
                <w:sz w:val="18"/>
                <w:szCs w:val="18"/>
              </w:rPr>
              <w:t>＜</w:t>
            </w:r>
            <w:r>
              <w:rPr>
                <w:rFonts w:ascii="宋体"/>
                <w:sz w:val="18"/>
                <w:szCs w:val="18"/>
              </w:rPr>
              <w:t>60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PrEx>
        <w:trPr>
          <w:trHeight w:val="268" w:hRule="atLeast"/>
          <w:jc w:val="center"/>
        </w:trPr>
        <w:tc>
          <w:tcPr>
            <w:tcW w:w="4615" w:type="dxa"/>
            <w:tcBorders>
              <w:left w:val="single" w:color="auto" w:sz="4" w:space="0"/>
              <w:right w:val="single" w:color="auto" w:sz="4" w:space="0"/>
            </w:tcBorders>
            <w:vAlign w:val="center"/>
          </w:tcPr>
          <w:p>
            <w:pPr>
              <w:jc w:val="center"/>
              <w:rPr>
                <w:szCs w:val="22"/>
              </w:rPr>
            </w:pPr>
            <w:r>
              <w:rPr>
                <w:rFonts w:hint="eastAsia"/>
                <w:szCs w:val="22"/>
              </w:rPr>
              <w:t>A</w:t>
            </w:r>
          </w:p>
        </w:tc>
        <w:tc>
          <w:tcPr>
            <w:tcW w:w="4170" w:type="dxa"/>
            <w:tcBorders>
              <w:left w:val="single" w:color="auto" w:sz="4" w:space="0"/>
              <w:right w:val="single" w:color="auto" w:sz="4" w:space="0"/>
            </w:tcBorders>
            <w:vAlign w:val="center"/>
          </w:tcPr>
          <w:p>
            <w:pPr>
              <w:jc w:val="center"/>
              <w:rPr>
                <w:rFonts w:ascii="宋体"/>
                <w:sz w:val="18"/>
                <w:szCs w:val="18"/>
              </w:rPr>
            </w:pPr>
            <w:r>
              <w:rPr>
                <w:rFonts w:hint="eastAsia" w:ascii="宋体"/>
                <w:sz w:val="18"/>
                <w:szCs w:val="18"/>
              </w:rPr>
              <w:t>1≤</w:t>
            </w:r>
            <w:r>
              <w:rPr>
                <w:rFonts w:ascii="宋体"/>
                <w:sz w:val="18"/>
                <w:szCs w:val="18"/>
              </w:rPr>
              <w:t>P</w:t>
            </w:r>
            <w:r>
              <w:rPr>
                <w:rFonts w:hint="eastAsia" w:ascii="宋体"/>
                <w:sz w:val="18"/>
                <w:szCs w:val="18"/>
              </w:rPr>
              <w:t>＜30</w:t>
            </w:r>
          </w:p>
        </w:tc>
      </w:tr>
    </w:tbl>
    <w:p>
      <w:pPr>
        <w:pStyle w:val="15"/>
        <w:ind w:firstLine="0" w:firstLineChars="0"/>
      </w:pPr>
      <w:bookmarkStart w:id="61" w:name="_Toc499402360"/>
      <w:bookmarkEnd w:id="61"/>
    </w:p>
    <w:bookmarkEnd w:id="37"/>
    <w:p>
      <w:pPr>
        <w:pStyle w:val="17"/>
        <w:spacing w:before="312" w:after="312"/>
        <w:ind w:left="0"/>
      </w:pPr>
      <w:bookmarkStart w:id="62" w:name="_Toc22868"/>
      <w:r>
        <w:rPr>
          <w:rFonts w:hint="eastAsia"/>
        </w:rPr>
        <w:t>服务评价应用</w:t>
      </w:r>
      <w:bookmarkEnd w:id="62"/>
    </w:p>
    <w:p>
      <w:pPr>
        <w:pStyle w:val="15"/>
        <w:rPr>
          <w:rFonts w:ascii="宋体@...葀." w:eastAsia="宋体@...葀." w:cs="宋体@...葀."/>
          <w:color w:val="000000"/>
          <w:szCs w:val="22"/>
        </w:rPr>
      </w:pPr>
      <w:r>
        <w:rPr>
          <w:rFonts w:hint="eastAsia" w:ascii="宋体@...葀." w:eastAsia="宋体@...葀." w:cs="宋体@...葀."/>
          <w:color w:val="000000"/>
          <w:szCs w:val="22"/>
        </w:rPr>
        <w:t>本标准是评价食品追溯信息系统的依据和准则，可用于四种评价。</w:t>
      </w:r>
    </w:p>
    <w:p>
      <w:pPr>
        <w:pStyle w:val="20"/>
        <w:numPr>
          <w:ilvl w:val="255"/>
          <w:numId w:val="0"/>
        </w:numPr>
        <w:spacing w:before="156" w:after="156"/>
        <w:outlineLvl w:val="2"/>
      </w:pPr>
      <w:r>
        <w:rPr>
          <w:rFonts w:hint="eastAsia"/>
        </w:rPr>
        <w:t>7.1 自我评价</w:t>
      </w:r>
    </w:p>
    <w:p>
      <w:pPr>
        <w:pStyle w:val="15"/>
        <w:rPr>
          <w:rFonts w:ascii="宋体@...葀." w:eastAsia="宋体@...葀." w:cs="宋体@...葀."/>
          <w:color w:val="000000"/>
          <w:szCs w:val="22"/>
        </w:rPr>
      </w:pPr>
      <w:r>
        <w:rPr>
          <w:rFonts w:hint="eastAsia" w:ascii="宋体@...葀." w:eastAsia="宋体@...葀." w:cs="宋体@...葀."/>
          <w:color w:val="000000"/>
          <w:szCs w:val="22"/>
        </w:rPr>
        <w:t>食品追溯信息系统的自我评价是指食品企业或公司根据自我管理要求，定期的或临时性对系统管理的符合性和有效性进行内部检查。自我评价旨在发现系统管理和实施中的问题或不足，识别改进点，并提出改进措施，从而保证系统的可靠性。</w:t>
      </w:r>
    </w:p>
    <w:p>
      <w:pPr>
        <w:pStyle w:val="15"/>
        <w:rPr>
          <w:szCs w:val="22"/>
        </w:rPr>
      </w:pPr>
    </w:p>
    <w:p>
      <w:pPr>
        <w:pStyle w:val="20"/>
        <w:numPr>
          <w:ilvl w:val="255"/>
          <w:numId w:val="0"/>
        </w:numPr>
        <w:spacing w:before="156" w:after="156"/>
        <w:outlineLvl w:val="2"/>
      </w:pPr>
      <w:r>
        <w:rPr>
          <w:rFonts w:hint="eastAsia"/>
        </w:rPr>
        <w:t>7.2 第三方评价</w:t>
      </w:r>
    </w:p>
    <w:p>
      <w:pPr>
        <w:pStyle w:val="15"/>
        <w:rPr>
          <w:rFonts w:ascii="宋体@...葀." w:eastAsia="宋体@...葀." w:cs="宋体@...葀."/>
          <w:color w:val="000000"/>
          <w:szCs w:val="22"/>
        </w:rPr>
      </w:pPr>
      <w:r>
        <w:rPr>
          <w:rFonts w:hint="eastAsia" w:ascii="宋体@...葀." w:eastAsia="宋体@...葀." w:cs="宋体@...葀."/>
          <w:color w:val="000000"/>
          <w:szCs w:val="22"/>
        </w:rPr>
        <w:t>第三方评价机构的外部评价是指政府食品安全监督部门或第三方评价机构，依据本标准，按照评价程序对食品追溯信息系统所进行的正式评价。外部评价旨在通过第三方的客观评价证实食品追溯信息系统已达到某等级，其评价结果即可为食品企业或公司确定系统所达到的等级。</w:t>
      </w:r>
    </w:p>
    <w:p>
      <w:pPr>
        <w:pStyle w:val="15"/>
        <w:rPr>
          <w:szCs w:val="22"/>
        </w:rPr>
      </w:pPr>
    </w:p>
    <w:p>
      <w:pPr>
        <w:pStyle w:val="20"/>
        <w:numPr>
          <w:ilvl w:val="255"/>
          <w:numId w:val="0"/>
        </w:numPr>
        <w:spacing w:before="156" w:after="156"/>
        <w:outlineLvl w:val="2"/>
      </w:pPr>
      <w:r>
        <w:rPr>
          <w:rFonts w:hint="eastAsia"/>
        </w:rPr>
        <w:t>7.3 诊断评价</w:t>
      </w:r>
    </w:p>
    <w:p>
      <w:pPr>
        <w:pStyle w:val="15"/>
        <w:rPr>
          <w:rFonts w:ascii="宋体@...葀." w:eastAsia="宋体@...葀." w:cs="宋体@...葀."/>
          <w:color w:val="000000"/>
          <w:szCs w:val="22"/>
        </w:rPr>
      </w:pPr>
      <w:r>
        <w:rPr>
          <w:rFonts w:hint="eastAsia" w:ascii="宋体@...葀." w:eastAsia="宋体@...葀." w:cs="宋体@...葀."/>
          <w:color w:val="000000"/>
          <w:szCs w:val="22"/>
        </w:rPr>
        <w:t>咨询机构的诊断评估是指咨询团队参照本标准，通过检查、提问和现场访谈等方式，对系统管理的现状所进行的调研和差距分析。诊断评价旨在快速了解系统的管理基础；其结果也便于食品企业或公司具体了解自身的差距，设立系统改进目标，并针对具体差距采取改进措施，推进系统提升，以实现溯源信息综合管理目标。</w:t>
      </w:r>
    </w:p>
    <w:p>
      <w:pPr>
        <w:pStyle w:val="15"/>
        <w:rPr>
          <w:szCs w:val="22"/>
        </w:rPr>
      </w:pPr>
    </w:p>
    <w:p>
      <w:pPr>
        <w:pStyle w:val="20"/>
        <w:numPr>
          <w:ilvl w:val="255"/>
          <w:numId w:val="0"/>
        </w:numPr>
        <w:spacing w:before="156" w:after="156"/>
        <w:outlineLvl w:val="2"/>
      </w:pPr>
      <w:r>
        <w:rPr>
          <w:rFonts w:hint="eastAsia"/>
        </w:rPr>
        <w:t>7.4 需方要求评价</w:t>
      </w:r>
    </w:p>
    <w:p>
      <w:pPr>
        <w:pStyle w:val="15"/>
        <w:rPr>
          <w:szCs w:val="22"/>
        </w:rPr>
      </w:pPr>
      <w:r>
        <w:rPr>
          <w:rFonts w:hint="eastAsia"/>
          <w:szCs w:val="22"/>
        </w:rPr>
        <w:t>服务需方可以将本标准作为评价和选择食品追溯信息系统的依据，并对系统的信息追溯能力提出要求。</w:t>
      </w:r>
    </w:p>
    <w:p>
      <w:pPr>
        <w:pStyle w:val="15"/>
        <w:ind w:firstLine="0" w:firstLineChars="0"/>
        <w:rPr>
          <w:szCs w:val="22"/>
        </w:rPr>
      </w:pPr>
    </w:p>
    <w:p>
      <w:pPr>
        <w:pStyle w:val="15"/>
        <w:ind w:firstLine="0" w:firstLineChars="0"/>
        <w:rPr>
          <w:szCs w:val="22"/>
        </w:rPr>
      </w:pPr>
    </w:p>
    <w:p>
      <w:pPr>
        <w:pStyle w:val="15"/>
        <w:ind w:firstLine="0" w:firstLineChars="0"/>
        <w:rPr>
          <w:szCs w:val="22"/>
        </w:rPr>
      </w:pPr>
    </w:p>
    <w:p>
      <w:pPr>
        <w:pStyle w:val="15"/>
        <w:ind w:firstLine="0" w:firstLineChars="0"/>
        <w:rPr>
          <w:szCs w:val="22"/>
        </w:rPr>
      </w:pPr>
    </w:p>
    <w:p>
      <w:pPr>
        <w:pStyle w:val="15"/>
        <w:rPr>
          <w:szCs w:val="22"/>
        </w:rPr>
      </w:pPr>
    </w:p>
    <w:p>
      <w:pPr>
        <w:pStyle w:val="15"/>
        <w:rPr>
          <w:szCs w:val="22"/>
        </w:rPr>
      </w:pPr>
    </w:p>
    <w:p>
      <w:pPr>
        <w:pStyle w:val="15"/>
        <w:rPr>
          <w:szCs w:val="22"/>
        </w:rPr>
      </w:pPr>
    </w:p>
    <w:p>
      <w:pPr>
        <w:pStyle w:val="15"/>
        <w:rPr>
          <w:szCs w:val="22"/>
        </w:rPr>
      </w:pPr>
    </w:p>
    <w:p>
      <w:pPr>
        <w:pStyle w:val="15"/>
        <w:rPr>
          <w:szCs w:val="22"/>
        </w:rPr>
      </w:pPr>
    </w:p>
    <w:p>
      <w:pPr>
        <w:pStyle w:val="15"/>
        <w:rPr>
          <w:szCs w:val="22"/>
        </w:rPr>
      </w:pPr>
    </w:p>
    <w:p>
      <w:pPr>
        <w:pStyle w:val="15"/>
        <w:rPr>
          <w:szCs w:val="22"/>
        </w:rPr>
      </w:pPr>
    </w:p>
    <w:p>
      <w:pPr>
        <w:widowControl/>
        <w:jc w:val="left"/>
        <w:rPr>
          <w:rFonts w:ascii="宋体"/>
          <w:kern w:val="0"/>
          <w:szCs w:val="22"/>
        </w:rPr>
      </w:pPr>
      <w:r>
        <w:rPr>
          <w:szCs w:val="22"/>
        </w:rPr>
        <w:br w:type="page"/>
      </w:r>
    </w:p>
    <w:p>
      <w:pPr>
        <w:pStyle w:val="15"/>
        <w:jc w:val="left"/>
        <w:rPr>
          <w:rFonts w:ascii="黑体" w:hAnsi="黑体" w:eastAsia="黑体" w:cs="黑体"/>
          <w:szCs w:val="21"/>
        </w:rPr>
      </w:pPr>
      <w:r>
        <w:rPr>
          <w:rFonts w:hint="eastAsia" w:ascii="黑体" w:hAnsi="黑体" w:eastAsia="黑体" w:cs="黑体"/>
          <w:szCs w:val="21"/>
        </w:rPr>
        <w:t>附件</w:t>
      </w:r>
      <w:r>
        <w:rPr>
          <w:rFonts w:ascii="黑体" w:hAnsi="黑体" w:eastAsia="黑体" w:cs="黑体"/>
          <w:szCs w:val="21"/>
        </w:rPr>
        <w:t>1</w:t>
      </w:r>
    </w:p>
    <w:p>
      <w:pPr>
        <w:pStyle w:val="15"/>
        <w:jc w:val="center"/>
        <w:rPr>
          <w:rFonts w:ascii="黑体" w:hAnsi="黑体" w:eastAsia="黑体" w:cs="黑体"/>
          <w:szCs w:val="21"/>
        </w:rPr>
      </w:pPr>
    </w:p>
    <w:p>
      <w:pPr>
        <w:pStyle w:val="15"/>
        <w:ind w:firstLine="560"/>
        <w:jc w:val="center"/>
        <w:rPr>
          <w:rFonts w:ascii="黑体" w:hAnsi="黑体" w:eastAsia="黑体" w:cs="黑体"/>
          <w:sz w:val="28"/>
          <w:szCs w:val="28"/>
        </w:rPr>
      </w:pPr>
      <w:r>
        <w:rPr>
          <w:rFonts w:hint="eastAsia" w:ascii="黑体" w:hAnsi="黑体" w:eastAsia="黑体" w:cs="黑体"/>
          <w:sz w:val="28"/>
          <w:szCs w:val="28"/>
        </w:rPr>
        <w:t>食品追溯信息系统评价指标体系</w:t>
      </w:r>
    </w:p>
    <w:p>
      <w:pPr>
        <w:pStyle w:val="15"/>
        <w:jc w:val="center"/>
        <w:rPr>
          <w:rFonts w:ascii="黑体" w:hAnsi="黑体" w:eastAsia="黑体" w:cs="黑体"/>
          <w:szCs w:val="21"/>
        </w:rPr>
      </w:pPr>
    </w:p>
    <w:tbl>
      <w:tblPr>
        <w:tblStyle w:val="7"/>
        <w:tblpPr w:leftFromText="180" w:rightFromText="180" w:vertAnchor="text" w:horzAnchor="page" w:tblpX="1552" w:tblpY="527"/>
        <w:tblOverlap w:val="never"/>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695"/>
        <w:gridCol w:w="585"/>
        <w:gridCol w:w="585"/>
        <w:gridCol w:w="5215"/>
      </w:tblGrid>
      <w:tr>
        <w:trPr>
          <w:cantSplit/>
          <w:trHeight w:val="493" w:hRule="atLeast"/>
          <w:tblHeader/>
        </w:trPr>
        <w:tc>
          <w:tcPr>
            <w:tcW w:w="960" w:type="dxa"/>
            <w:vAlign w:val="center"/>
          </w:tcPr>
          <w:p>
            <w:pPr>
              <w:rPr>
                <w:rFonts w:ascii="宋体" w:cs="宋体"/>
                <w:bCs/>
                <w:sz w:val="18"/>
                <w:szCs w:val="18"/>
              </w:rPr>
            </w:pPr>
            <w:r>
              <w:rPr>
                <w:rFonts w:hint="eastAsia" w:ascii="宋体" w:hAnsi="宋体" w:cs="宋体"/>
                <w:bCs/>
                <w:sz w:val="18"/>
                <w:szCs w:val="18"/>
              </w:rPr>
              <w:t>指标代码</w:t>
            </w:r>
          </w:p>
        </w:tc>
        <w:tc>
          <w:tcPr>
            <w:tcW w:w="1695" w:type="dxa"/>
            <w:vAlign w:val="center"/>
          </w:tcPr>
          <w:p>
            <w:pPr>
              <w:rPr>
                <w:rFonts w:ascii="宋体" w:cs="宋体"/>
                <w:bCs/>
                <w:sz w:val="18"/>
                <w:szCs w:val="18"/>
              </w:rPr>
            </w:pPr>
            <w:r>
              <w:rPr>
                <w:rFonts w:hint="eastAsia" w:ascii="宋体" w:hAnsi="宋体" w:cs="宋体"/>
                <w:bCs/>
                <w:sz w:val="18"/>
                <w:szCs w:val="18"/>
              </w:rPr>
              <w:t>评价内容</w:t>
            </w:r>
          </w:p>
        </w:tc>
        <w:tc>
          <w:tcPr>
            <w:tcW w:w="585" w:type="dxa"/>
            <w:vAlign w:val="center"/>
          </w:tcPr>
          <w:p>
            <w:pPr>
              <w:jc w:val="center"/>
              <w:rPr>
                <w:rFonts w:ascii="宋体" w:cs="宋体"/>
                <w:bCs/>
                <w:sz w:val="18"/>
                <w:szCs w:val="18"/>
              </w:rPr>
            </w:pPr>
            <w:r>
              <w:rPr>
                <w:rFonts w:hint="eastAsia" w:ascii="宋体" w:hAnsi="宋体" w:cs="宋体"/>
                <w:bCs/>
                <w:sz w:val="18"/>
                <w:szCs w:val="18"/>
              </w:rPr>
              <w:t>类型</w:t>
            </w:r>
          </w:p>
        </w:tc>
        <w:tc>
          <w:tcPr>
            <w:tcW w:w="585" w:type="dxa"/>
            <w:vAlign w:val="center"/>
          </w:tcPr>
          <w:p>
            <w:pPr>
              <w:jc w:val="center"/>
              <w:rPr>
                <w:rFonts w:ascii="宋体" w:cs="宋体"/>
                <w:bCs/>
                <w:sz w:val="18"/>
                <w:szCs w:val="18"/>
              </w:rPr>
            </w:pPr>
            <w:r>
              <w:rPr>
                <w:rFonts w:hint="eastAsia" w:ascii="宋体" w:hAnsi="宋体" w:cs="宋体"/>
                <w:bCs/>
                <w:sz w:val="18"/>
                <w:szCs w:val="18"/>
              </w:rPr>
              <w:t>权重</w:t>
            </w:r>
          </w:p>
        </w:tc>
        <w:tc>
          <w:tcPr>
            <w:tcW w:w="5215" w:type="dxa"/>
            <w:vAlign w:val="center"/>
          </w:tcPr>
          <w:p>
            <w:pPr>
              <w:rPr>
                <w:rFonts w:ascii="宋体" w:cs="宋体"/>
                <w:bCs/>
                <w:sz w:val="18"/>
                <w:szCs w:val="18"/>
              </w:rPr>
            </w:pPr>
            <w:r>
              <w:rPr>
                <w:rFonts w:hint="eastAsia" w:ascii="宋体" w:hAnsi="宋体" w:cs="宋体"/>
                <w:bCs/>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2" w:hRule="atLeast"/>
          <w:tblHeader/>
        </w:trPr>
        <w:tc>
          <w:tcPr>
            <w:tcW w:w="960" w:type="dxa"/>
            <w:shd w:val="clear" w:color="auto" w:fill="E7E6E6"/>
          </w:tcPr>
          <w:p>
            <w:pPr>
              <w:rPr>
                <w:rFonts w:ascii="宋体" w:cs="宋体"/>
                <w:sz w:val="18"/>
                <w:szCs w:val="18"/>
              </w:rPr>
            </w:pPr>
            <w:r>
              <w:rPr>
                <w:rFonts w:ascii="宋体" w:hAnsi="宋体" w:cs="宋体"/>
                <w:sz w:val="18"/>
                <w:szCs w:val="18"/>
              </w:rPr>
              <w:t>01</w:t>
            </w:r>
          </w:p>
        </w:tc>
        <w:tc>
          <w:tcPr>
            <w:tcW w:w="1695" w:type="dxa"/>
            <w:shd w:val="clear" w:color="auto" w:fill="E7E6E6"/>
            <w:vAlign w:val="center"/>
          </w:tcPr>
          <w:p>
            <w:pPr>
              <w:rPr>
                <w:rFonts w:ascii="宋体" w:cs="宋体"/>
                <w:sz w:val="18"/>
                <w:szCs w:val="18"/>
              </w:rPr>
            </w:pPr>
            <w:r>
              <w:rPr>
                <w:rFonts w:hint="eastAsia" w:ascii="宋体" w:cs="宋体"/>
                <w:sz w:val="18"/>
                <w:szCs w:val="18"/>
              </w:rPr>
              <w:t>合规性评价</w:t>
            </w:r>
          </w:p>
        </w:tc>
        <w:tc>
          <w:tcPr>
            <w:tcW w:w="585" w:type="dxa"/>
            <w:shd w:val="clear" w:color="auto" w:fill="E7E6E6"/>
            <w:vAlign w:val="center"/>
          </w:tcPr>
          <w:p>
            <w:pPr>
              <w:jc w:val="center"/>
              <w:rPr>
                <w:rFonts w:ascii="宋体" w:cs="宋体"/>
                <w:sz w:val="18"/>
                <w:szCs w:val="18"/>
              </w:rPr>
            </w:pPr>
          </w:p>
        </w:tc>
        <w:tc>
          <w:tcPr>
            <w:tcW w:w="585" w:type="dxa"/>
            <w:shd w:val="clear" w:color="auto" w:fill="E7E6E6"/>
            <w:vAlign w:val="center"/>
          </w:tcPr>
          <w:p>
            <w:pPr>
              <w:jc w:val="center"/>
              <w:rPr>
                <w:rFonts w:ascii="宋体" w:cs="宋体"/>
                <w:sz w:val="18"/>
                <w:szCs w:val="18"/>
              </w:rPr>
            </w:pPr>
          </w:p>
        </w:tc>
        <w:tc>
          <w:tcPr>
            <w:tcW w:w="5215" w:type="dxa"/>
            <w:shd w:val="clear" w:color="auto" w:fill="E7E6E6"/>
            <w:vAlign w:val="center"/>
          </w:tcPr>
          <w:p>
            <w:pP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2" w:hRule="atLeast"/>
          <w:tblHeader/>
        </w:trPr>
        <w:tc>
          <w:tcPr>
            <w:tcW w:w="960" w:type="dxa"/>
            <w:shd w:val="clear" w:color="auto" w:fill="F1F1F1" w:themeFill="background1" w:themeFillShade="F2"/>
            <w:vAlign w:val="center"/>
          </w:tcPr>
          <w:p>
            <w:pPr>
              <w:rPr>
                <w:rFonts w:ascii="宋体" w:cs="宋体"/>
                <w:sz w:val="18"/>
                <w:szCs w:val="18"/>
              </w:rPr>
            </w:pPr>
            <w:r>
              <w:rPr>
                <w:rFonts w:ascii="宋体" w:hAnsi="宋体" w:cs="宋体"/>
                <w:sz w:val="18"/>
                <w:szCs w:val="18"/>
              </w:rPr>
              <w:t>0101</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法律法规</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b</w:t>
            </w:r>
          </w:p>
        </w:tc>
        <w:tc>
          <w:tcPr>
            <w:tcW w:w="585" w:type="dxa"/>
            <w:shd w:val="clear" w:color="auto" w:fill="F1F1F1" w:themeFill="background1" w:themeFillShade="F2"/>
            <w:vAlign w:val="center"/>
          </w:tcPr>
          <w:p>
            <w:pPr>
              <w:jc w:val="center"/>
              <w:rPr>
                <w:rFonts w:ascii="宋体" w:cs="宋体"/>
                <w:sz w:val="18"/>
                <w:szCs w:val="18"/>
              </w:rPr>
            </w:pPr>
          </w:p>
        </w:tc>
        <w:tc>
          <w:tcPr>
            <w:tcW w:w="5215" w:type="dxa"/>
            <w:shd w:val="clear" w:color="auto" w:fill="F1F1F1" w:themeFill="background1" w:themeFillShade="F2"/>
            <w:vAlign w:val="center"/>
          </w:tcPr>
          <w:p>
            <w:pPr>
              <w:rPr>
                <w:rFonts w:ascii="宋体" w:cs="宋体"/>
                <w:sz w:val="18"/>
                <w:szCs w:val="18"/>
              </w:rPr>
            </w:pPr>
            <w:r>
              <w:rPr>
                <w:rFonts w:ascii="宋体" w:hAnsi="宋体" w:cs="宋体"/>
                <w:sz w:val="18"/>
                <w:szCs w:val="18"/>
              </w:rPr>
              <w:t>0</w:t>
            </w:r>
            <w:r>
              <w:rPr>
                <w:rFonts w:hint="eastAsia" w:ascii="宋体" w:hAnsi="宋体" w:cs="宋体"/>
                <w:sz w:val="18"/>
                <w:szCs w:val="18"/>
              </w:rPr>
              <w:t>，</w:t>
            </w:r>
            <w:r>
              <w:rPr>
                <w:rFonts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2" w:hRule="atLeast"/>
          <w:tblHeader/>
        </w:trPr>
        <w:tc>
          <w:tcPr>
            <w:tcW w:w="960"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0102</w:t>
            </w:r>
          </w:p>
        </w:tc>
        <w:tc>
          <w:tcPr>
            <w:tcW w:w="1695" w:type="dxa"/>
            <w:shd w:val="clear" w:color="auto" w:fill="F1F1F1" w:themeFill="background1" w:themeFillShade="F2"/>
            <w:vAlign w:val="center"/>
          </w:tcPr>
          <w:p>
            <w:pPr>
              <w:rPr>
                <w:rFonts w:ascii="宋体" w:cs="宋体"/>
                <w:sz w:val="18"/>
                <w:szCs w:val="18"/>
              </w:rPr>
            </w:pPr>
            <w:r>
              <w:rPr>
                <w:rFonts w:hint="eastAsia" w:ascii="宋体" w:hAnsi="宋体" w:cs="宋体"/>
                <w:sz w:val="18"/>
                <w:szCs w:val="18"/>
              </w:rPr>
              <w:t>政策规章</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b</w:t>
            </w:r>
          </w:p>
        </w:tc>
        <w:tc>
          <w:tcPr>
            <w:tcW w:w="585" w:type="dxa"/>
            <w:shd w:val="clear" w:color="auto" w:fill="F1F1F1" w:themeFill="background1" w:themeFillShade="F2"/>
            <w:vAlign w:val="center"/>
          </w:tcPr>
          <w:p>
            <w:pPr>
              <w:jc w:val="center"/>
              <w:rPr>
                <w:rFonts w:ascii="宋体" w:cs="宋体"/>
                <w:sz w:val="18"/>
                <w:szCs w:val="18"/>
              </w:rPr>
            </w:pPr>
          </w:p>
        </w:tc>
        <w:tc>
          <w:tcPr>
            <w:tcW w:w="5215" w:type="dxa"/>
            <w:shd w:val="clear" w:color="auto" w:fill="F1F1F1" w:themeFill="background1" w:themeFillShade="F2"/>
            <w:vAlign w:val="center"/>
          </w:tcPr>
          <w:p>
            <w:pPr>
              <w:rPr>
                <w:rFonts w:ascii="宋体" w:cs="宋体"/>
                <w:sz w:val="18"/>
                <w:szCs w:val="18"/>
              </w:rPr>
            </w:pPr>
            <w:r>
              <w:rPr>
                <w:rFonts w:ascii="宋体" w:hAnsi="宋体" w:cs="宋体"/>
                <w:sz w:val="18"/>
                <w:szCs w:val="18"/>
              </w:rPr>
              <w:t>0</w:t>
            </w:r>
            <w:r>
              <w:rPr>
                <w:rFonts w:hint="eastAsia" w:ascii="宋体" w:hAnsi="宋体" w:cs="宋体"/>
                <w:sz w:val="18"/>
                <w:szCs w:val="18"/>
              </w:rPr>
              <w:t>，</w:t>
            </w:r>
            <w:r>
              <w:rPr>
                <w:rFonts w:ascii="宋体" w:hAnsi="宋体" w:cs="宋体"/>
                <w:sz w:val="18"/>
                <w:szCs w:val="18"/>
              </w:rPr>
              <w:t>1</w:t>
            </w:r>
          </w:p>
        </w:tc>
      </w:tr>
      <w:tr>
        <w:trPr>
          <w:cantSplit/>
          <w:trHeight w:val="326" w:hRule="atLeast"/>
          <w:tblHeader/>
        </w:trPr>
        <w:tc>
          <w:tcPr>
            <w:tcW w:w="960" w:type="dxa"/>
            <w:shd w:val="clear" w:color="auto" w:fill="E7E6E6"/>
            <w:vAlign w:val="center"/>
          </w:tcPr>
          <w:p>
            <w:pPr>
              <w:rPr>
                <w:rFonts w:ascii="宋体" w:cs="宋体"/>
                <w:sz w:val="18"/>
                <w:szCs w:val="18"/>
              </w:rPr>
            </w:pPr>
            <w:r>
              <w:rPr>
                <w:rFonts w:ascii="宋体" w:cs="宋体"/>
                <w:sz w:val="18"/>
                <w:szCs w:val="18"/>
              </w:rPr>
              <w:t>0</w:t>
            </w:r>
            <w:r>
              <w:rPr>
                <w:rFonts w:ascii="宋体" w:hAnsi="宋体" w:cs="宋体"/>
                <w:sz w:val="18"/>
                <w:szCs w:val="18"/>
              </w:rPr>
              <w:t>2</w:t>
            </w:r>
          </w:p>
        </w:tc>
        <w:tc>
          <w:tcPr>
            <w:tcW w:w="1695" w:type="dxa"/>
            <w:shd w:val="clear" w:color="auto" w:fill="E7E6E6"/>
            <w:vAlign w:val="center"/>
          </w:tcPr>
          <w:p>
            <w:pPr>
              <w:rPr>
                <w:rFonts w:ascii="宋体" w:cs="宋体"/>
                <w:sz w:val="18"/>
                <w:szCs w:val="18"/>
              </w:rPr>
            </w:pPr>
            <w:r>
              <w:rPr>
                <w:rFonts w:hint="eastAsia" w:ascii="宋体" w:cs="宋体"/>
                <w:sz w:val="18"/>
                <w:szCs w:val="18"/>
              </w:rPr>
              <w:t>系统安全性</w:t>
            </w:r>
          </w:p>
        </w:tc>
        <w:tc>
          <w:tcPr>
            <w:tcW w:w="585" w:type="dxa"/>
            <w:shd w:val="clear" w:color="auto" w:fill="E7E6E6"/>
            <w:vAlign w:val="center"/>
          </w:tcPr>
          <w:p>
            <w:pPr>
              <w:jc w:val="center"/>
              <w:rPr>
                <w:rFonts w:ascii="宋体" w:cs="宋体"/>
                <w:sz w:val="18"/>
                <w:szCs w:val="18"/>
              </w:rPr>
            </w:pPr>
          </w:p>
        </w:tc>
        <w:tc>
          <w:tcPr>
            <w:tcW w:w="585" w:type="dxa"/>
            <w:shd w:val="clear" w:color="auto" w:fill="E7E6E6"/>
            <w:vAlign w:val="center"/>
          </w:tcPr>
          <w:p>
            <w:pPr>
              <w:jc w:val="center"/>
              <w:rPr>
                <w:rFonts w:ascii="宋体" w:cs="宋体"/>
                <w:sz w:val="18"/>
                <w:szCs w:val="18"/>
              </w:rPr>
            </w:pPr>
            <w:r>
              <w:rPr>
                <w:rFonts w:hint="eastAsia" w:ascii="宋体" w:cs="宋体"/>
                <w:sz w:val="18"/>
                <w:szCs w:val="18"/>
              </w:rPr>
              <w:t>15</w:t>
            </w:r>
          </w:p>
        </w:tc>
        <w:tc>
          <w:tcPr>
            <w:tcW w:w="5215" w:type="dxa"/>
            <w:shd w:val="clear" w:color="auto" w:fill="E7E6E6"/>
            <w:vAlign w:val="center"/>
          </w:tcPr>
          <w:p>
            <w:pPr>
              <w:rPr>
                <w:rFonts w:ascii="宋体" w:cs="宋体"/>
                <w:sz w:val="18"/>
                <w:szCs w:val="18"/>
              </w:rPr>
            </w:pPr>
          </w:p>
        </w:tc>
      </w:tr>
      <w:tr>
        <w:trPr>
          <w:cantSplit/>
          <w:trHeight w:val="326" w:hRule="atLeast"/>
          <w:tblHeader/>
        </w:trPr>
        <w:tc>
          <w:tcPr>
            <w:tcW w:w="960" w:type="dxa"/>
            <w:shd w:val="clear" w:color="auto" w:fill="F1F1F1" w:themeFill="background1" w:themeFillShade="F2"/>
            <w:vAlign w:val="center"/>
          </w:tcPr>
          <w:p>
            <w:pPr>
              <w:rPr>
                <w:rFonts w:ascii="宋体" w:cs="宋体"/>
                <w:bCs/>
                <w:sz w:val="18"/>
                <w:szCs w:val="18"/>
              </w:rPr>
            </w:pPr>
            <w:r>
              <w:rPr>
                <w:rFonts w:ascii="宋体" w:cs="宋体"/>
                <w:sz w:val="18"/>
                <w:szCs w:val="18"/>
              </w:rPr>
              <w:t>0</w:t>
            </w:r>
            <w:r>
              <w:rPr>
                <w:rFonts w:hint="eastAsia" w:ascii="宋体" w:cs="宋体"/>
                <w:sz w:val="18"/>
                <w:szCs w:val="18"/>
              </w:rPr>
              <w:t>2</w:t>
            </w:r>
            <w:r>
              <w:rPr>
                <w:rFonts w:ascii="宋体" w:hAnsi="宋体" w:cs="宋体"/>
                <w:sz w:val="18"/>
                <w:szCs w:val="18"/>
              </w:rPr>
              <w:t>01</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安全管理体系建设</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3</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sz w:val="18"/>
                <w:szCs w:val="18"/>
              </w:rPr>
            </w:pPr>
            <w:r>
              <w:rPr>
                <w:rFonts w:hint="eastAsia" w:ascii="宋体" w:cs="宋体"/>
                <w:sz w:val="18"/>
                <w:szCs w:val="18"/>
              </w:rPr>
              <w:t>0202</w:t>
            </w:r>
          </w:p>
        </w:tc>
        <w:tc>
          <w:tcPr>
            <w:tcW w:w="1695"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个人信息安全</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4</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sz w:val="18"/>
                <w:szCs w:val="18"/>
              </w:rPr>
            </w:pPr>
            <w:r>
              <w:rPr>
                <w:rFonts w:hint="eastAsia" w:ascii="宋体" w:cs="宋体"/>
                <w:sz w:val="18"/>
                <w:szCs w:val="18"/>
              </w:rPr>
              <w:t>0203</w:t>
            </w:r>
          </w:p>
        </w:tc>
        <w:tc>
          <w:tcPr>
            <w:tcW w:w="1695"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数据安全</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4</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sz w:val="18"/>
                <w:szCs w:val="18"/>
              </w:rPr>
            </w:pPr>
            <w:r>
              <w:rPr>
                <w:rFonts w:hint="eastAsia" w:ascii="宋体" w:cs="宋体"/>
                <w:sz w:val="18"/>
                <w:szCs w:val="18"/>
              </w:rPr>
              <w:t>0204</w:t>
            </w:r>
          </w:p>
        </w:tc>
        <w:tc>
          <w:tcPr>
            <w:tcW w:w="1695"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系统网络安全</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eastAsia="宋体" w:cs="宋体"/>
                <w:bCs/>
                <w:sz w:val="18"/>
                <w:szCs w:val="18"/>
                <w:lang w:val="en-US" w:eastAsia="zh-CN"/>
              </w:rPr>
            </w:pPr>
            <w:r>
              <w:rPr>
                <w:rFonts w:hint="eastAsia" w:ascii="宋体" w:cs="宋体"/>
                <w:bCs/>
                <w:sz w:val="18"/>
                <w:szCs w:val="18"/>
                <w:lang w:val="en-US" w:eastAsia="zh-CN"/>
              </w:rPr>
              <w:t>4</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E7E6E6"/>
          </w:tcPr>
          <w:p>
            <w:pPr>
              <w:rPr>
                <w:rFonts w:ascii="宋体" w:cs="宋体"/>
                <w:bCs/>
                <w:sz w:val="18"/>
                <w:szCs w:val="18"/>
              </w:rPr>
            </w:pPr>
            <w:r>
              <w:rPr>
                <w:rFonts w:ascii="宋体" w:cs="宋体"/>
                <w:sz w:val="18"/>
                <w:szCs w:val="18"/>
              </w:rPr>
              <w:t>0</w:t>
            </w:r>
            <w:r>
              <w:rPr>
                <w:rFonts w:ascii="宋体" w:hAnsi="宋体" w:cs="宋体"/>
                <w:sz w:val="18"/>
                <w:szCs w:val="18"/>
              </w:rPr>
              <w:t>3</w:t>
            </w:r>
          </w:p>
        </w:tc>
        <w:tc>
          <w:tcPr>
            <w:tcW w:w="1695" w:type="dxa"/>
            <w:shd w:val="clear" w:color="auto" w:fill="E7E6E6"/>
            <w:vAlign w:val="center"/>
          </w:tcPr>
          <w:p>
            <w:pPr>
              <w:rPr>
                <w:rFonts w:ascii="宋体" w:cs="宋体"/>
                <w:bCs/>
                <w:sz w:val="18"/>
                <w:szCs w:val="18"/>
              </w:rPr>
            </w:pPr>
            <w:r>
              <w:rPr>
                <w:rFonts w:hint="eastAsia" w:ascii="宋体" w:hAnsi="宋体" w:cs="宋体"/>
                <w:bCs/>
                <w:sz w:val="18"/>
                <w:szCs w:val="18"/>
              </w:rPr>
              <w:t>追溯覆盖度</w:t>
            </w:r>
          </w:p>
        </w:tc>
        <w:tc>
          <w:tcPr>
            <w:tcW w:w="585" w:type="dxa"/>
            <w:shd w:val="clear" w:color="auto" w:fill="E7E6E6"/>
            <w:vAlign w:val="center"/>
          </w:tcPr>
          <w:p>
            <w:pPr>
              <w:jc w:val="center"/>
              <w:rPr>
                <w:rFonts w:ascii="宋体" w:cs="宋体"/>
                <w:bCs/>
                <w:sz w:val="18"/>
                <w:szCs w:val="18"/>
              </w:rPr>
            </w:pPr>
          </w:p>
        </w:tc>
        <w:tc>
          <w:tcPr>
            <w:tcW w:w="585" w:type="dxa"/>
            <w:shd w:val="clear" w:color="auto" w:fill="E7E6E6"/>
            <w:vAlign w:val="center"/>
          </w:tcPr>
          <w:p>
            <w:pPr>
              <w:jc w:val="center"/>
              <w:rPr>
                <w:rFonts w:ascii="宋体" w:cs="宋体"/>
                <w:bCs/>
                <w:sz w:val="18"/>
                <w:szCs w:val="18"/>
              </w:rPr>
            </w:pPr>
            <w:r>
              <w:rPr>
                <w:rFonts w:hint="eastAsia" w:ascii="宋体" w:cs="宋体"/>
                <w:bCs/>
                <w:sz w:val="18"/>
                <w:szCs w:val="18"/>
              </w:rPr>
              <w:t>35</w:t>
            </w:r>
          </w:p>
        </w:tc>
        <w:tc>
          <w:tcPr>
            <w:tcW w:w="5215" w:type="dxa"/>
            <w:shd w:val="clear" w:color="auto" w:fill="E7E6E6"/>
            <w:vAlign w:val="center"/>
          </w:tcPr>
          <w:p>
            <w:pPr>
              <w:rPr>
                <w:rFonts w:ascii="宋体" w:cs="宋体"/>
                <w:bCs/>
                <w:sz w:val="18"/>
                <w:szCs w:val="18"/>
              </w:rPr>
            </w:pPr>
          </w:p>
        </w:tc>
      </w:tr>
      <w:tr>
        <w:trPr>
          <w:cantSplit/>
          <w:trHeight w:val="326" w:hRule="atLeast"/>
          <w:tblHeader/>
        </w:trPr>
        <w:tc>
          <w:tcPr>
            <w:tcW w:w="960" w:type="dxa"/>
            <w:shd w:val="clear" w:color="auto" w:fill="F1F1F1" w:themeFill="background1" w:themeFillShade="F2"/>
            <w:vAlign w:val="center"/>
          </w:tcPr>
          <w:p>
            <w:pPr>
              <w:rPr>
                <w:rFonts w:ascii="宋体" w:cs="宋体"/>
                <w:bCs/>
                <w:sz w:val="18"/>
                <w:szCs w:val="18"/>
              </w:rPr>
            </w:pPr>
            <w:r>
              <w:rPr>
                <w:rFonts w:ascii="宋体" w:cs="宋体"/>
                <w:sz w:val="18"/>
                <w:szCs w:val="18"/>
              </w:rPr>
              <w:t>0</w:t>
            </w:r>
            <w:r>
              <w:rPr>
                <w:rFonts w:ascii="宋体" w:hAnsi="宋体" w:cs="宋体"/>
                <w:sz w:val="18"/>
                <w:szCs w:val="18"/>
              </w:rPr>
              <w:t>301</w:t>
            </w:r>
          </w:p>
        </w:tc>
        <w:tc>
          <w:tcPr>
            <w:tcW w:w="1695" w:type="dxa"/>
            <w:shd w:val="clear" w:color="auto" w:fill="F1F1F1" w:themeFill="background1" w:themeFillShade="F2"/>
            <w:vAlign w:val="center"/>
          </w:tcPr>
          <w:p>
            <w:pPr>
              <w:rPr>
                <w:rFonts w:ascii="宋体" w:cs="宋体"/>
                <w:bCs/>
                <w:sz w:val="18"/>
                <w:szCs w:val="18"/>
              </w:rPr>
            </w:pPr>
            <w:r>
              <w:rPr>
                <w:rFonts w:hint="eastAsia" w:ascii="宋体" w:hAnsi="宋体" w:cs="宋体"/>
                <w:sz w:val="18"/>
                <w:szCs w:val="18"/>
              </w:rPr>
              <w:t>原材料</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eastAsia="宋体" w:cs="宋体"/>
                <w:bCs/>
                <w:sz w:val="18"/>
                <w:szCs w:val="18"/>
                <w:lang w:val="en-US" w:eastAsia="zh-CN"/>
              </w:rPr>
            </w:pPr>
            <w:r>
              <w:rPr>
                <w:rFonts w:hint="eastAsia" w:ascii="宋体" w:cs="宋体"/>
                <w:bCs/>
                <w:sz w:val="18"/>
                <w:szCs w:val="18"/>
                <w:lang w:val="en-US" w:eastAsia="zh-CN"/>
              </w:rPr>
              <w:t>10</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0302</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生产过程</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eastAsia="宋体" w:cs="宋体"/>
                <w:bCs/>
                <w:sz w:val="18"/>
                <w:szCs w:val="18"/>
                <w:lang w:val="en-US" w:eastAsia="zh-CN"/>
              </w:rPr>
            </w:pPr>
            <w:r>
              <w:rPr>
                <w:rFonts w:hint="eastAsia" w:ascii="宋体" w:cs="宋体"/>
                <w:bCs/>
                <w:sz w:val="18"/>
                <w:szCs w:val="18"/>
                <w:lang w:val="en-US" w:eastAsia="zh-CN"/>
              </w:rPr>
              <w:t>10</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hint="default" w:ascii="宋体" w:hAnsi="宋体" w:eastAsia="宋体" w:cs="宋体"/>
                <w:sz w:val="18"/>
                <w:szCs w:val="18"/>
                <w:lang w:val="en-US" w:eastAsia="zh-CN"/>
              </w:rPr>
            </w:pPr>
            <w:r>
              <w:rPr>
                <w:rFonts w:hint="eastAsia" w:ascii="宋体" w:hAnsi="宋体" w:cs="宋体"/>
                <w:sz w:val="18"/>
                <w:szCs w:val="18"/>
                <w:lang w:val="en-US" w:eastAsia="zh-CN"/>
              </w:rPr>
              <w:t>0303</w:t>
            </w:r>
          </w:p>
        </w:tc>
        <w:tc>
          <w:tcPr>
            <w:tcW w:w="1695" w:type="dxa"/>
            <w:shd w:val="clear" w:color="auto" w:fill="F1F1F1" w:themeFill="background1" w:themeFillShade="F2"/>
            <w:vAlign w:val="center"/>
          </w:tcPr>
          <w:p>
            <w:pPr>
              <w:rPr>
                <w:rFonts w:hint="eastAsia" w:ascii="宋体" w:eastAsia="宋体" w:cs="宋体"/>
                <w:bCs/>
                <w:sz w:val="18"/>
                <w:szCs w:val="18"/>
                <w:lang w:val="en-US" w:eastAsia="zh-CN"/>
              </w:rPr>
            </w:pPr>
            <w:r>
              <w:rPr>
                <w:rFonts w:hint="eastAsia" w:ascii="宋体" w:cs="宋体"/>
                <w:bCs/>
                <w:sz w:val="18"/>
                <w:szCs w:val="18"/>
                <w:lang w:val="en-US" w:eastAsia="zh-CN"/>
              </w:rPr>
              <w:t>检验过程</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a</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2</w:t>
            </w:r>
          </w:p>
        </w:tc>
        <w:tc>
          <w:tcPr>
            <w:tcW w:w="5215" w:type="dxa"/>
            <w:shd w:val="clear" w:color="auto" w:fill="F1F1F1" w:themeFill="background1" w:themeFillShade="F2"/>
            <w:vAlign w:val="center"/>
          </w:tcPr>
          <w:p>
            <w:pPr>
              <w:rPr>
                <w:rFonts w:hint="default" w:ascii="宋体" w:hAnsi="宋体" w:eastAsia="宋体" w:cs="宋体"/>
                <w:sz w:val="18"/>
                <w:szCs w:val="18"/>
                <w:lang w:val="en-US" w:eastAsia="zh-CN"/>
              </w:rPr>
            </w:pPr>
            <w:r>
              <w:rPr>
                <w:rFonts w:hint="eastAsia" w:ascii="宋体" w:hAnsi="宋体" w:cs="宋体"/>
                <w:sz w:val="18"/>
                <w:szCs w:val="18"/>
                <w:lang w:val="en-US" w:eastAsia="zh-CN"/>
              </w:rPr>
              <w:t>0-100分</w:t>
            </w:r>
          </w:p>
        </w:tc>
      </w:tr>
      <w:tr>
        <w:trPr>
          <w:cantSplit/>
          <w:trHeight w:val="326" w:hRule="atLeast"/>
          <w:tblHeader/>
        </w:trPr>
        <w:tc>
          <w:tcPr>
            <w:tcW w:w="960" w:type="dxa"/>
            <w:shd w:val="clear" w:color="auto" w:fill="F1F1F1" w:themeFill="background1" w:themeFillShade="F2"/>
            <w:vAlign w:val="center"/>
          </w:tcPr>
          <w:p>
            <w:pPr>
              <w:rPr>
                <w:rFonts w:hint="eastAsia" w:ascii="宋体" w:eastAsia="宋体" w:cs="宋体"/>
                <w:sz w:val="18"/>
                <w:szCs w:val="18"/>
                <w:lang w:val="en-US" w:eastAsia="zh-CN"/>
              </w:rPr>
            </w:pPr>
            <w:r>
              <w:rPr>
                <w:rFonts w:ascii="宋体" w:hAnsi="宋体" w:cs="宋体"/>
                <w:sz w:val="18"/>
                <w:szCs w:val="18"/>
              </w:rPr>
              <w:t>030</w:t>
            </w:r>
            <w:r>
              <w:rPr>
                <w:rFonts w:hint="eastAsia" w:ascii="宋体" w:hAnsi="宋体" w:cs="宋体"/>
                <w:sz w:val="18"/>
                <w:szCs w:val="18"/>
                <w:lang w:val="en-US" w:eastAsia="zh-CN"/>
              </w:rPr>
              <w:t>4</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lang w:val="en-US" w:eastAsia="zh-CN"/>
              </w:rPr>
              <w:t>流通</w:t>
            </w:r>
            <w:r>
              <w:rPr>
                <w:rFonts w:hint="eastAsia" w:ascii="宋体" w:cs="宋体"/>
                <w:bCs/>
                <w:sz w:val="18"/>
                <w:szCs w:val="18"/>
              </w:rPr>
              <w:t>过程</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eastAsia="宋体" w:cs="宋体"/>
                <w:bCs/>
                <w:sz w:val="18"/>
                <w:szCs w:val="18"/>
                <w:lang w:val="en-US" w:eastAsia="zh-CN"/>
              </w:rPr>
            </w:pPr>
            <w:r>
              <w:rPr>
                <w:rFonts w:hint="eastAsia" w:ascii="宋体" w:cs="宋体"/>
                <w:bCs/>
                <w:sz w:val="18"/>
                <w:szCs w:val="18"/>
                <w:lang w:val="en-US" w:eastAsia="zh-CN"/>
              </w:rPr>
              <w:t>10</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5" w:hRule="atLeast"/>
          <w:tblHeader/>
        </w:trPr>
        <w:tc>
          <w:tcPr>
            <w:tcW w:w="960" w:type="dxa"/>
            <w:shd w:val="clear" w:color="auto" w:fill="F1F1F1" w:themeFill="background1" w:themeFillShade="F2"/>
            <w:vAlign w:val="center"/>
          </w:tcPr>
          <w:p>
            <w:pPr>
              <w:rPr>
                <w:rFonts w:hint="eastAsia" w:ascii="宋体" w:hAnsi="宋体" w:eastAsia="宋体" w:cs="宋体"/>
                <w:sz w:val="18"/>
                <w:szCs w:val="18"/>
                <w:lang w:val="en-US" w:eastAsia="zh-CN"/>
              </w:rPr>
            </w:pPr>
            <w:r>
              <w:rPr>
                <w:rFonts w:hint="eastAsia" w:ascii="宋体" w:hAnsi="宋体" w:cs="宋体"/>
                <w:sz w:val="18"/>
                <w:szCs w:val="18"/>
              </w:rPr>
              <w:t>030</w:t>
            </w:r>
            <w:r>
              <w:rPr>
                <w:rFonts w:hint="eastAsia" w:ascii="宋体" w:hAnsi="宋体" w:cs="宋体"/>
                <w:sz w:val="18"/>
                <w:szCs w:val="18"/>
                <w:lang w:val="en-US" w:eastAsia="zh-CN"/>
              </w:rPr>
              <w:t>5</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问题追溯</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3</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E7E6E6" w:themeFill="background2"/>
            <w:vAlign w:val="center"/>
          </w:tcPr>
          <w:p>
            <w:pPr>
              <w:rPr>
                <w:rFonts w:ascii="宋体" w:cs="宋体"/>
                <w:sz w:val="18"/>
                <w:szCs w:val="18"/>
              </w:rPr>
            </w:pPr>
            <w:r>
              <w:rPr>
                <w:rFonts w:ascii="宋体" w:cs="宋体"/>
                <w:sz w:val="18"/>
                <w:szCs w:val="18"/>
              </w:rPr>
              <w:t>04</w:t>
            </w:r>
          </w:p>
        </w:tc>
        <w:tc>
          <w:tcPr>
            <w:tcW w:w="1695" w:type="dxa"/>
            <w:shd w:val="clear" w:color="auto" w:fill="E7E6E6" w:themeFill="background2"/>
            <w:vAlign w:val="center"/>
          </w:tcPr>
          <w:p>
            <w:pPr>
              <w:rPr>
                <w:rFonts w:ascii="宋体" w:cs="宋体"/>
                <w:sz w:val="18"/>
                <w:szCs w:val="18"/>
              </w:rPr>
            </w:pPr>
            <w:r>
              <w:rPr>
                <w:rFonts w:hint="eastAsia" w:ascii="宋体" w:cs="宋体"/>
                <w:sz w:val="18"/>
                <w:szCs w:val="18"/>
              </w:rPr>
              <w:t>追溯完备度</w:t>
            </w:r>
          </w:p>
        </w:tc>
        <w:tc>
          <w:tcPr>
            <w:tcW w:w="585" w:type="dxa"/>
            <w:shd w:val="clear" w:color="auto" w:fill="E7E6E6" w:themeFill="background2"/>
            <w:vAlign w:val="center"/>
          </w:tcPr>
          <w:p>
            <w:pPr>
              <w:rPr>
                <w:rFonts w:ascii="宋体" w:cs="宋体"/>
                <w:sz w:val="18"/>
                <w:szCs w:val="18"/>
              </w:rPr>
            </w:pPr>
          </w:p>
        </w:tc>
        <w:tc>
          <w:tcPr>
            <w:tcW w:w="585" w:type="dxa"/>
            <w:shd w:val="clear" w:color="auto" w:fill="E7E6E6" w:themeFill="background2"/>
            <w:vAlign w:val="center"/>
          </w:tcPr>
          <w:p>
            <w:pPr>
              <w:jc w:val="center"/>
              <w:rPr>
                <w:rFonts w:ascii="宋体" w:cs="宋体"/>
                <w:sz w:val="18"/>
                <w:szCs w:val="18"/>
              </w:rPr>
            </w:pPr>
            <w:r>
              <w:rPr>
                <w:rFonts w:hint="eastAsia" w:ascii="宋体" w:cs="宋体"/>
                <w:sz w:val="18"/>
                <w:szCs w:val="18"/>
              </w:rPr>
              <w:t>35</w:t>
            </w:r>
          </w:p>
        </w:tc>
        <w:tc>
          <w:tcPr>
            <w:tcW w:w="5215" w:type="dxa"/>
            <w:shd w:val="clear" w:color="auto" w:fill="E7E6E6" w:themeFill="background2"/>
            <w:vAlign w:val="center"/>
          </w:tcPr>
          <w:p>
            <w:pPr>
              <w:rPr>
                <w:rFonts w:ascii="宋体" w:cs="宋体"/>
                <w:sz w:val="18"/>
                <w:szCs w:val="18"/>
              </w:rPr>
            </w:pPr>
          </w:p>
        </w:tc>
      </w:tr>
      <w:tr>
        <w:trPr>
          <w:cantSplit/>
          <w:trHeight w:val="326" w:hRule="atLeast"/>
          <w:tblHeader/>
        </w:trPr>
        <w:tc>
          <w:tcPr>
            <w:tcW w:w="960"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0401</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数据采集完备度</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eastAsia="宋体" w:cs="宋体"/>
                <w:bCs/>
                <w:sz w:val="18"/>
                <w:szCs w:val="18"/>
                <w:lang w:val="en-US" w:eastAsia="zh-CN"/>
              </w:rPr>
            </w:pPr>
            <w:r>
              <w:rPr>
                <w:rFonts w:hint="eastAsia" w:ascii="宋体" w:cs="宋体"/>
                <w:bCs/>
                <w:sz w:val="18"/>
                <w:szCs w:val="18"/>
                <w:lang w:val="en-US" w:eastAsia="zh-CN"/>
              </w:rPr>
              <w:t>10</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0402</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流程管理完备度</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eastAsia="宋体" w:cs="宋体"/>
                <w:bCs/>
                <w:sz w:val="18"/>
                <w:szCs w:val="18"/>
                <w:lang w:val="en-US" w:eastAsia="zh-CN"/>
              </w:rPr>
            </w:pPr>
            <w:r>
              <w:rPr>
                <w:rFonts w:hint="eastAsia" w:ascii="宋体" w:cs="宋体"/>
                <w:bCs/>
                <w:sz w:val="18"/>
                <w:szCs w:val="18"/>
                <w:lang w:val="en-US" w:eastAsia="zh-CN"/>
              </w:rPr>
              <w:t>5</w:t>
            </w:r>
          </w:p>
        </w:tc>
        <w:tc>
          <w:tcPr>
            <w:tcW w:w="5215" w:type="dxa"/>
            <w:shd w:val="clear" w:color="auto" w:fill="F1F1F1" w:themeFill="background1" w:themeFillShade="F2"/>
            <w:vAlign w:val="center"/>
          </w:tcPr>
          <w:p>
            <w:pPr>
              <w:rPr>
                <w:rFonts w:ascii="宋体" w:cs="宋体"/>
                <w:bCs/>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0403</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分析预警完备度</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5</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0404</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问题追溯完备度</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5</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0405</w:t>
            </w:r>
          </w:p>
        </w:tc>
        <w:tc>
          <w:tcPr>
            <w:tcW w:w="1695" w:type="dxa"/>
            <w:shd w:val="clear" w:color="auto" w:fill="F1F1F1" w:themeFill="background1" w:themeFillShade="F2"/>
            <w:vAlign w:val="center"/>
          </w:tcPr>
          <w:p>
            <w:pPr>
              <w:rPr>
                <w:rFonts w:ascii="宋体" w:cs="宋体"/>
                <w:bCs/>
                <w:sz w:val="18"/>
                <w:szCs w:val="18"/>
              </w:rPr>
            </w:pPr>
            <w:r>
              <w:rPr>
                <w:rFonts w:hint="eastAsia" w:ascii="宋体" w:cs="宋体"/>
                <w:bCs/>
                <w:sz w:val="18"/>
                <w:szCs w:val="18"/>
              </w:rPr>
              <w:t>追溯编码共享度</w:t>
            </w:r>
          </w:p>
        </w:tc>
        <w:tc>
          <w:tcPr>
            <w:tcW w:w="585" w:type="dxa"/>
            <w:shd w:val="clear" w:color="auto" w:fill="F1F1F1" w:themeFill="background1" w:themeFillShade="F2"/>
            <w:vAlign w:val="center"/>
          </w:tcPr>
          <w:p>
            <w:pPr>
              <w:jc w:val="center"/>
              <w:rPr>
                <w:rFonts w:ascii="宋体" w:cs="宋体"/>
                <w:bCs/>
                <w:sz w:val="18"/>
                <w:szCs w:val="18"/>
              </w:rPr>
            </w:pPr>
            <w:r>
              <w:rPr>
                <w:rFonts w:hint="eastAsia" w:ascii="宋体" w:cs="宋体"/>
                <w:bCs/>
                <w:sz w:val="18"/>
                <w:szCs w:val="18"/>
              </w:rPr>
              <w:t>a</w:t>
            </w:r>
          </w:p>
        </w:tc>
        <w:tc>
          <w:tcPr>
            <w:tcW w:w="585" w:type="dxa"/>
            <w:shd w:val="clear" w:color="auto" w:fill="F1F1F1" w:themeFill="background1" w:themeFillShade="F2"/>
            <w:vAlign w:val="center"/>
          </w:tcPr>
          <w:p>
            <w:pPr>
              <w:jc w:val="center"/>
              <w:rPr>
                <w:rFonts w:hint="default" w:ascii="宋体" w:hAnsi="宋体" w:eastAsia="宋体" w:cs="宋体"/>
                <w:bCs/>
                <w:sz w:val="18"/>
                <w:szCs w:val="18"/>
                <w:lang w:val="en-US" w:eastAsia="zh-CN"/>
              </w:rPr>
            </w:pPr>
            <w:r>
              <w:rPr>
                <w:rFonts w:hint="eastAsia" w:ascii="宋体" w:hAnsi="宋体" w:cs="宋体"/>
                <w:bCs/>
                <w:sz w:val="18"/>
                <w:szCs w:val="18"/>
                <w:lang w:val="en-US" w:eastAsia="zh-CN"/>
              </w:rPr>
              <w:t>10</w:t>
            </w:r>
          </w:p>
        </w:tc>
        <w:tc>
          <w:tcPr>
            <w:tcW w:w="5215" w:type="dxa"/>
            <w:shd w:val="clear" w:color="auto" w:fill="F1F1F1" w:themeFill="background1" w:themeFillShade="F2"/>
            <w:vAlign w:val="center"/>
          </w:tcPr>
          <w:p>
            <w:pPr>
              <w:rPr>
                <w:rFonts w:hint="default" w:ascii="宋体" w:hAnsi="宋体" w:eastAsia="宋体" w:cs="宋体"/>
                <w:sz w:val="18"/>
                <w:szCs w:val="18"/>
                <w:lang w:val="en-US" w:eastAsia="zh-CN"/>
              </w:rPr>
            </w:pPr>
            <w:r>
              <w:rPr>
                <w:rFonts w:hint="eastAsia" w:ascii="宋体" w:hAnsi="宋体" w:cs="宋体"/>
                <w:sz w:val="18"/>
                <w:szCs w:val="18"/>
                <w:lang w:val="en-US" w:eastAsia="zh-CN"/>
              </w:rPr>
              <w:t>0-100分</w:t>
            </w:r>
          </w:p>
        </w:tc>
      </w:tr>
      <w:tr>
        <w:trPr>
          <w:cantSplit/>
          <w:trHeight w:val="326" w:hRule="atLeast"/>
          <w:tblHeader/>
        </w:trPr>
        <w:tc>
          <w:tcPr>
            <w:tcW w:w="960" w:type="dxa"/>
            <w:shd w:val="clear" w:color="auto" w:fill="E7E6E6" w:themeFill="background2"/>
            <w:vAlign w:val="center"/>
          </w:tcPr>
          <w:p>
            <w:pPr>
              <w:rPr>
                <w:rFonts w:ascii="宋体" w:cs="宋体"/>
                <w:bCs/>
                <w:sz w:val="18"/>
                <w:szCs w:val="18"/>
              </w:rPr>
            </w:pPr>
            <w:r>
              <w:rPr>
                <w:rFonts w:ascii="宋体" w:hAnsi="宋体" w:cs="宋体"/>
                <w:sz w:val="18"/>
                <w:szCs w:val="18"/>
              </w:rPr>
              <w:t>05</w:t>
            </w:r>
          </w:p>
        </w:tc>
        <w:tc>
          <w:tcPr>
            <w:tcW w:w="1695" w:type="dxa"/>
            <w:shd w:val="clear" w:color="auto" w:fill="E7E6E6" w:themeFill="background2"/>
            <w:vAlign w:val="center"/>
          </w:tcPr>
          <w:p>
            <w:pPr>
              <w:rPr>
                <w:rFonts w:ascii="宋体" w:cs="宋体"/>
                <w:bCs/>
                <w:sz w:val="18"/>
                <w:szCs w:val="18"/>
              </w:rPr>
            </w:pPr>
            <w:r>
              <w:rPr>
                <w:rFonts w:hint="eastAsia" w:ascii="宋体" w:cs="宋体"/>
                <w:bCs/>
                <w:sz w:val="18"/>
                <w:szCs w:val="18"/>
              </w:rPr>
              <w:t>系统性能</w:t>
            </w:r>
          </w:p>
        </w:tc>
        <w:tc>
          <w:tcPr>
            <w:tcW w:w="585" w:type="dxa"/>
            <w:shd w:val="clear" w:color="auto" w:fill="E7E6E6" w:themeFill="background2"/>
            <w:vAlign w:val="center"/>
          </w:tcPr>
          <w:p>
            <w:pPr>
              <w:jc w:val="center"/>
              <w:rPr>
                <w:rFonts w:ascii="宋体" w:cs="宋体"/>
                <w:bCs/>
                <w:sz w:val="18"/>
                <w:szCs w:val="18"/>
              </w:rPr>
            </w:pPr>
          </w:p>
        </w:tc>
        <w:tc>
          <w:tcPr>
            <w:tcW w:w="585" w:type="dxa"/>
            <w:shd w:val="clear" w:color="auto" w:fill="E7E6E6" w:themeFill="background2"/>
            <w:vAlign w:val="center"/>
          </w:tcPr>
          <w:p>
            <w:pPr>
              <w:jc w:val="center"/>
              <w:rPr>
                <w:rFonts w:ascii="宋体" w:cs="宋体"/>
                <w:bCs/>
                <w:sz w:val="18"/>
                <w:szCs w:val="18"/>
              </w:rPr>
            </w:pPr>
            <w:r>
              <w:rPr>
                <w:rFonts w:hint="eastAsia" w:ascii="宋体" w:cs="宋体"/>
                <w:bCs/>
                <w:sz w:val="18"/>
                <w:szCs w:val="18"/>
              </w:rPr>
              <w:t>10</w:t>
            </w:r>
          </w:p>
        </w:tc>
        <w:tc>
          <w:tcPr>
            <w:tcW w:w="5215" w:type="dxa"/>
            <w:shd w:val="clear" w:color="auto" w:fill="E7E6E6" w:themeFill="background2"/>
            <w:vAlign w:val="center"/>
          </w:tcPr>
          <w:p>
            <w:pPr>
              <w:rPr>
                <w:rFonts w:ascii="宋体" w:cs="宋体"/>
                <w:bCs/>
                <w:sz w:val="18"/>
                <w:szCs w:val="18"/>
              </w:rPr>
            </w:pPr>
          </w:p>
        </w:tc>
      </w:tr>
      <w:tr>
        <w:trPr>
          <w:cantSplit/>
          <w:trHeight w:val="326" w:hRule="atLeast"/>
          <w:tblHeader/>
        </w:trPr>
        <w:tc>
          <w:tcPr>
            <w:tcW w:w="960" w:type="dxa"/>
            <w:shd w:val="clear" w:color="auto" w:fill="F1F1F1" w:themeFill="background1" w:themeFillShade="F2"/>
            <w:vAlign w:val="center"/>
          </w:tcPr>
          <w:p>
            <w:pPr>
              <w:rPr>
                <w:rFonts w:ascii="宋体" w:cs="宋体"/>
                <w:sz w:val="18"/>
                <w:szCs w:val="18"/>
              </w:rPr>
            </w:pPr>
            <w:r>
              <w:rPr>
                <w:rFonts w:ascii="宋体" w:hAnsi="宋体" w:cs="宋体"/>
                <w:sz w:val="18"/>
                <w:szCs w:val="18"/>
              </w:rPr>
              <w:t>0501</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响应速度</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eastAsia="宋体" w:cs="宋体"/>
                <w:sz w:val="18"/>
                <w:szCs w:val="18"/>
                <w:lang w:val="en-US" w:eastAsia="zh-CN"/>
              </w:rPr>
            </w:pPr>
            <w:r>
              <w:rPr>
                <w:rFonts w:hint="eastAsia" w:ascii="宋体" w:cs="宋体"/>
                <w:sz w:val="18"/>
                <w:szCs w:val="18"/>
                <w:lang w:val="en-US" w:eastAsia="zh-CN"/>
              </w:rPr>
              <w:t>4</w:t>
            </w:r>
          </w:p>
        </w:tc>
        <w:tc>
          <w:tcPr>
            <w:tcW w:w="5215" w:type="dxa"/>
            <w:shd w:val="clear" w:color="auto" w:fill="F1F1F1" w:themeFill="background1" w:themeFillShade="F2"/>
            <w:vAlign w:val="center"/>
          </w:tcPr>
          <w:p>
            <w:pPr>
              <w:rPr>
                <w:rFonts w:asci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cs="宋体"/>
                <w:sz w:val="18"/>
                <w:szCs w:val="18"/>
              </w:rPr>
            </w:pPr>
            <w:r>
              <w:rPr>
                <w:rFonts w:ascii="宋体" w:hAnsi="宋体" w:cs="宋体"/>
                <w:sz w:val="18"/>
                <w:szCs w:val="18"/>
              </w:rPr>
              <w:t>0502</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吞吐量</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eastAsia="宋体" w:cs="宋体"/>
                <w:sz w:val="18"/>
                <w:szCs w:val="18"/>
                <w:lang w:val="en-US" w:eastAsia="zh-CN"/>
              </w:rPr>
            </w:pPr>
            <w:r>
              <w:rPr>
                <w:rFonts w:hint="eastAsia" w:ascii="宋体" w:cs="宋体"/>
                <w:sz w:val="18"/>
                <w:szCs w:val="18"/>
                <w:lang w:val="en-US" w:eastAsia="zh-CN"/>
              </w:rPr>
              <w:t>3</w:t>
            </w:r>
          </w:p>
        </w:tc>
        <w:tc>
          <w:tcPr>
            <w:tcW w:w="5215" w:type="dxa"/>
            <w:shd w:val="clear" w:color="auto" w:fill="F1F1F1" w:themeFill="background1" w:themeFillShade="F2"/>
            <w:vAlign w:val="center"/>
          </w:tcPr>
          <w:p>
            <w:pPr>
              <w:rPr>
                <w:rFonts w:asci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0503</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并发数量</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E7E6E6" w:themeFill="background2"/>
            <w:vAlign w:val="center"/>
          </w:tcPr>
          <w:p>
            <w:pPr>
              <w:rPr>
                <w:rFonts w:ascii="宋体" w:cs="宋体"/>
                <w:bCs/>
                <w:sz w:val="18"/>
                <w:szCs w:val="18"/>
              </w:rPr>
            </w:pPr>
            <w:r>
              <w:rPr>
                <w:rFonts w:ascii="宋体" w:hAnsi="宋体" w:cs="宋体"/>
                <w:sz w:val="18"/>
                <w:szCs w:val="18"/>
              </w:rPr>
              <w:t>0</w:t>
            </w:r>
            <w:r>
              <w:rPr>
                <w:rFonts w:hint="eastAsia" w:ascii="宋体" w:hAnsi="宋体" w:cs="宋体"/>
                <w:sz w:val="18"/>
                <w:szCs w:val="18"/>
              </w:rPr>
              <w:t>6</w:t>
            </w:r>
          </w:p>
        </w:tc>
        <w:tc>
          <w:tcPr>
            <w:tcW w:w="1695" w:type="dxa"/>
            <w:shd w:val="clear" w:color="auto" w:fill="E7E6E6" w:themeFill="background2"/>
            <w:vAlign w:val="center"/>
          </w:tcPr>
          <w:p>
            <w:pPr>
              <w:rPr>
                <w:rFonts w:ascii="宋体" w:cs="宋体"/>
                <w:bCs/>
                <w:sz w:val="18"/>
                <w:szCs w:val="18"/>
              </w:rPr>
            </w:pPr>
            <w:r>
              <w:rPr>
                <w:rFonts w:hint="eastAsia" w:ascii="宋体" w:cs="宋体"/>
                <w:bCs/>
                <w:sz w:val="18"/>
                <w:szCs w:val="18"/>
              </w:rPr>
              <w:t>系统实际运行效果</w:t>
            </w:r>
          </w:p>
        </w:tc>
        <w:tc>
          <w:tcPr>
            <w:tcW w:w="585" w:type="dxa"/>
            <w:shd w:val="clear" w:color="auto" w:fill="E7E6E6" w:themeFill="background2"/>
            <w:vAlign w:val="center"/>
          </w:tcPr>
          <w:p>
            <w:pPr>
              <w:jc w:val="center"/>
              <w:rPr>
                <w:rFonts w:ascii="宋体" w:cs="宋体"/>
                <w:bCs/>
                <w:sz w:val="18"/>
                <w:szCs w:val="18"/>
              </w:rPr>
            </w:pPr>
          </w:p>
        </w:tc>
        <w:tc>
          <w:tcPr>
            <w:tcW w:w="585" w:type="dxa"/>
            <w:shd w:val="clear" w:color="auto" w:fill="E7E6E6" w:themeFill="background2"/>
            <w:vAlign w:val="center"/>
          </w:tcPr>
          <w:p>
            <w:pPr>
              <w:jc w:val="center"/>
              <w:rPr>
                <w:rFonts w:ascii="宋体" w:cs="宋体"/>
                <w:bCs/>
                <w:sz w:val="18"/>
                <w:szCs w:val="18"/>
              </w:rPr>
            </w:pPr>
            <w:r>
              <w:rPr>
                <w:rFonts w:hint="eastAsia" w:ascii="宋体" w:cs="宋体"/>
                <w:bCs/>
                <w:sz w:val="18"/>
                <w:szCs w:val="18"/>
              </w:rPr>
              <w:t>5</w:t>
            </w:r>
          </w:p>
        </w:tc>
        <w:tc>
          <w:tcPr>
            <w:tcW w:w="5215" w:type="dxa"/>
            <w:shd w:val="clear" w:color="auto" w:fill="E7E6E6" w:themeFill="background2"/>
            <w:vAlign w:val="center"/>
          </w:tcPr>
          <w:p>
            <w:pPr>
              <w:rPr>
                <w:rFonts w:ascii="宋体" w:cs="宋体"/>
                <w:bCs/>
                <w:sz w:val="18"/>
                <w:szCs w:val="18"/>
              </w:rPr>
            </w:pP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0601</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使用系统的企业数量</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0602</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已有的数据规模</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0603</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实际追溯案例效果</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60" w:type="dxa"/>
            <w:shd w:val="clear" w:color="auto" w:fill="F1F1F1" w:themeFill="background1" w:themeFillShade="F2"/>
            <w:vAlign w:val="center"/>
          </w:tcPr>
          <w:p>
            <w:pPr>
              <w:rPr>
                <w:rFonts w:ascii="宋体" w:hAnsi="宋体" w:cs="宋体"/>
                <w:sz w:val="18"/>
                <w:szCs w:val="18"/>
              </w:rPr>
            </w:pPr>
            <w:r>
              <w:rPr>
                <w:rFonts w:hint="eastAsia" w:ascii="宋体" w:hAnsi="宋体" w:cs="宋体"/>
                <w:sz w:val="18"/>
                <w:szCs w:val="18"/>
              </w:rPr>
              <w:t>0604</w:t>
            </w:r>
          </w:p>
        </w:tc>
        <w:tc>
          <w:tcPr>
            <w:tcW w:w="1695" w:type="dxa"/>
            <w:shd w:val="clear" w:color="auto" w:fill="F1F1F1" w:themeFill="background1" w:themeFillShade="F2"/>
            <w:vAlign w:val="center"/>
          </w:tcPr>
          <w:p>
            <w:pPr>
              <w:rPr>
                <w:rFonts w:ascii="宋体" w:cs="宋体"/>
                <w:sz w:val="18"/>
                <w:szCs w:val="18"/>
              </w:rPr>
            </w:pPr>
            <w:r>
              <w:rPr>
                <w:rFonts w:hint="eastAsia" w:ascii="宋体" w:cs="宋体"/>
                <w:sz w:val="18"/>
                <w:szCs w:val="18"/>
              </w:rPr>
              <w:t>客户评分</w:t>
            </w:r>
          </w:p>
        </w:tc>
        <w:tc>
          <w:tcPr>
            <w:tcW w:w="585" w:type="dxa"/>
            <w:shd w:val="clear" w:color="auto" w:fill="F1F1F1" w:themeFill="background1" w:themeFillShade="F2"/>
            <w:vAlign w:val="center"/>
          </w:tcPr>
          <w:p>
            <w:pPr>
              <w:jc w:val="center"/>
              <w:rPr>
                <w:rFonts w:ascii="宋体" w:cs="宋体"/>
                <w:sz w:val="18"/>
                <w:szCs w:val="18"/>
              </w:rPr>
            </w:pPr>
            <w:r>
              <w:rPr>
                <w:rFonts w:hint="eastAsia" w:ascii="宋体" w:cs="宋体"/>
                <w:sz w:val="18"/>
                <w:szCs w:val="18"/>
              </w:rPr>
              <w:t>a</w:t>
            </w:r>
          </w:p>
        </w:tc>
        <w:tc>
          <w:tcPr>
            <w:tcW w:w="585" w:type="dxa"/>
            <w:shd w:val="clear" w:color="auto" w:fill="F1F1F1" w:themeFill="background1" w:themeFillShade="F2"/>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5215" w:type="dxa"/>
            <w:shd w:val="clear" w:color="auto" w:fill="F1F1F1" w:themeFill="background1" w:themeFillShade="F2"/>
            <w:vAlign w:val="center"/>
          </w:tcPr>
          <w:p>
            <w:pPr>
              <w:rPr>
                <w:rFonts w:ascii="宋体" w:hAnsi="宋体" w:cs="宋体"/>
                <w:sz w:val="18"/>
                <w:szCs w:val="18"/>
              </w:rPr>
            </w:pPr>
            <w:r>
              <w:rPr>
                <w:rFonts w:ascii="宋体" w:hAnsi="宋体" w:cs="宋体"/>
                <w:sz w:val="18"/>
                <w:szCs w:val="18"/>
              </w:rPr>
              <w:t>0-100</w:t>
            </w:r>
            <w:r>
              <w:rPr>
                <w:rFonts w:hint="eastAsia" w:ascii="宋体" w:hAnsi="宋体" w:cs="宋体"/>
                <w:sz w:val="18"/>
                <w:szCs w:val="18"/>
              </w:rPr>
              <w:t>分</w:t>
            </w:r>
          </w:p>
        </w:tc>
      </w:tr>
      <w:tr>
        <w:trPr>
          <w:cantSplit/>
          <w:trHeight w:val="326" w:hRule="atLeast"/>
          <w:tblHeader/>
        </w:trPr>
        <w:tc>
          <w:tcPr>
            <w:tcW w:w="9040" w:type="dxa"/>
            <w:gridSpan w:val="5"/>
            <w:tcBorders>
              <w:left w:val="nil"/>
              <w:bottom w:val="nil"/>
              <w:right w:val="nil"/>
            </w:tcBorders>
            <w:shd w:val="clear" w:color="auto" w:fill="FFFFFF" w:themeFill="background1"/>
            <w:vAlign w:val="center"/>
          </w:tcPr>
          <w:p>
            <w:pPr>
              <w:pStyle w:val="15"/>
              <w:ind w:firstLine="400"/>
              <w:jc w:val="left"/>
              <w:rPr>
                <w:rFonts w:hAnsi="宋体"/>
                <w:sz w:val="20"/>
              </w:rPr>
            </w:pPr>
            <w:r>
              <w:rPr>
                <w:rFonts w:hint="eastAsia"/>
                <w:sz w:val="20"/>
                <w:szCs w:val="18"/>
              </w:rPr>
              <w:t>注：</w:t>
            </w:r>
            <w:r>
              <w:rPr>
                <w:rFonts w:ascii="Times New Roman"/>
                <w:sz w:val="20"/>
                <w:szCs w:val="18"/>
              </w:rPr>
              <w:t>1</w:t>
            </w:r>
            <w:r>
              <w:rPr>
                <w:rFonts w:hint="eastAsia"/>
                <w:sz w:val="20"/>
                <w:szCs w:val="18"/>
              </w:rPr>
              <w:t>.</w:t>
            </w:r>
            <w:r>
              <w:rPr>
                <w:rFonts w:hint="eastAsia" w:hAnsi="宋体"/>
                <w:sz w:val="20"/>
              </w:rPr>
              <w:t>定量评价指标（a）可根据有关参数通过计算获得;</w:t>
            </w:r>
          </w:p>
          <w:p>
            <w:pPr>
              <w:pStyle w:val="15"/>
              <w:ind w:firstLine="800" w:firstLineChars="400"/>
              <w:jc w:val="left"/>
              <w:rPr>
                <w:sz w:val="20"/>
                <w:szCs w:val="18"/>
              </w:rPr>
            </w:pPr>
            <w:r>
              <w:rPr>
                <w:rFonts w:ascii="Times New Roman"/>
                <w:sz w:val="20"/>
              </w:rPr>
              <w:t>2</w:t>
            </w:r>
            <w:r>
              <w:rPr>
                <w:rFonts w:hint="eastAsia" w:hAnsi="宋体"/>
                <w:sz w:val="20"/>
              </w:rPr>
              <w:t>.定性评价指标（b）可用特征值或程度表示。</w:t>
            </w:r>
          </w:p>
          <w:p>
            <w:pPr>
              <w:rPr>
                <w:rFonts w:ascii="宋体" w:hAnsi="宋体" w:cs="宋体"/>
                <w:sz w:val="18"/>
                <w:szCs w:val="18"/>
              </w:rPr>
            </w:pPr>
          </w:p>
        </w:tc>
      </w:tr>
    </w:tbl>
    <w:p>
      <w:pPr>
        <w:pStyle w:val="15"/>
        <w:ind w:firstLine="0" w:firstLineChars="0"/>
        <w:rPr>
          <w:szCs w:val="22"/>
        </w:rPr>
      </w:pPr>
    </w:p>
    <w:p>
      <w:pPr>
        <w:pStyle w:val="21"/>
        <w:rPr>
          <w:rFonts w:ascii="宋体" w:hAnsi="宋体" w:eastAsia="宋体" w:cs="宋体"/>
        </w:rPr>
      </w:pPr>
      <w:bookmarkStart w:id="63" w:name="_Toc410921899"/>
      <w:bookmarkStart w:id="64" w:name="_Toc24015"/>
      <w:bookmarkStart w:id="65" w:name="_Toc494117545"/>
      <w:bookmarkStart w:id="66" w:name="BKCKWX"/>
      <w:bookmarkStart w:id="67" w:name="_Toc410921788"/>
      <w:r>
        <w:rPr>
          <w:rFonts w:hint="eastAsia" w:ascii="宋体" w:hAnsi="宋体" w:eastAsia="宋体" w:cs="宋体"/>
        </w:rPr>
        <w:t>参 考 文 献</w:t>
      </w:r>
      <w:bookmarkEnd w:id="63"/>
      <w:bookmarkEnd w:id="64"/>
      <w:bookmarkEnd w:id="65"/>
      <w:bookmarkEnd w:id="66"/>
      <w:bookmarkEnd w:id="67"/>
    </w:p>
    <w:p>
      <w:pPr>
        <w:pStyle w:val="15"/>
        <w:rPr>
          <w:rFonts w:hint="eastAsia" w:hAnsi="宋体" w:cs="宋体"/>
          <w:szCs w:val="21"/>
        </w:rPr>
      </w:pPr>
      <w:r>
        <w:rPr>
          <w:rFonts w:hint="eastAsia" w:hAnsi="宋体" w:cs="宋体"/>
          <w:szCs w:val="21"/>
        </w:rPr>
        <w:t>[1] GB/T 22005—2009 饲料和食品链的可追溯性体系设计与实施的通用原则和基本要求（ISO22005：2007，IDT）</w:t>
      </w:r>
    </w:p>
    <w:p>
      <w:pPr>
        <w:pStyle w:val="15"/>
        <w:rPr>
          <w:rFonts w:hint="default" w:hAnsi="宋体" w:eastAsia="宋体" w:cs="宋体"/>
          <w:szCs w:val="21"/>
          <w:lang w:val="en-US" w:eastAsia="zh-CN"/>
        </w:rPr>
      </w:pPr>
      <w:r>
        <w:rPr>
          <w:rFonts w:hint="eastAsia" w:hAnsi="宋体" w:cs="宋体"/>
          <w:szCs w:val="21"/>
          <w:lang w:val="en-US" w:eastAsia="zh-CN"/>
        </w:rPr>
        <w:t xml:space="preserve">[2] </w:t>
      </w:r>
      <w:r>
        <w:rPr>
          <w:rFonts w:hint="eastAsia" w:hAnsi="宋体" w:cs="宋体"/>
          <w:szCs w:val="21"/>
        </w:rPr>
        <w:t>GB/T 22000—20</w:t>
      </w:r>
      <w:r>
        <w:rPr>
          <w:rFonts w:hint="eastAsia" w:hAnsi="宋体" w:cs="宋体"/>
          <w:szCs w:val="21"/>
          <w:lang w:val="en-US" w:eastAsia="zh-CN"/>
        </w:rPr>
        <w:t>20</w:t>
      </w:r>
      <w:r>
        <w:rPr>
          <w:rFonts w:hint="eastAsia" w:hAnsi="宋体" w:cs="宋体"/>
          <w:szCs w:val="21"/>
        </w:rPr>
        <w:t xml:space="preserve"> 食</w:t>
      </w:r>
      <w:r>
        <w:rPr>
          <w:rFonts w:hint="eastAsia"/>
          <w:szCs w:val="21"/>
        </w:rPr>
        <w:t>品安全管理体系 食品链中各类组织的要求</w:t>
      </w:r>
    </w:p>
    <w:p>
      <w:pPr>
        <w:pStyle w:val="15"/>
        <w:rPr>
          <w:rFonts w:hAnsi="宋体" w:cs="宋体"/>
          <w:szCs w:val="21"/>
        </w:rPr>
      </w:pPr>
      <w:r>
        <w:rPr>
          <w:rFonts w:hint="eastAsia" w:hAnsi="宋体" w:cs="宋体"/>
          <w:szCs w:val="21"/>
        </w:rPr>
        <w:t>[</w:t>
      </w:r>
      <w:r>
        <w:rPr>
          <w:rFonts w:hint="eastAsia" w:hAnsi="宋体" w:cs="宋体"/>
          <w:szCs w:val="21"/>
          <w:lang w:val="en-US" w:eastAsia="zh-CN"/>
        </w:rPr>
        <w:t>3</w:t>
      </w:r>
      <w:r>
        <w:rPr>
          <w:rFonts w:hint="eastAsia" w:hAnsi="宋体" w:cs="宋体"/>
          <w:szCs w:val="21"/>
        </w:rPr>
        <w:t>] GB/T 29701—2013 食品安全追溯体系技术规范</w:t>
      </w:r>
    </w:p>
    <w:p>
      <w:pPr>
        <w:pStyle w:val="15"/>
        <w:rPr>
          <w:rFonts w:hAnsi="宋体" w:cs="宋体"/>
          <w:szCs w:val="21"/>
        </w:rPr>
      </w:pPr>
      <w:r>
        <w:rPr>
          <w:rFonts w:hint="eastAsia" w:hAnsi="宋体" w:cs="宋体"/>
          <w:szCs w:val="21"/>
        </w:rPr>
        <w:t>[</w:t>
      </w:r>
      <w:r>
        <w:rPr>
          <w:rFonts w:hint="eastAsia" w:hAnsi="宋体" w:cs="宋体"/>
          <w:szCs w:val="21"/>
          <w:lang w:val="en-US" w:eastAsia="zh-CN"/>
        </w:rPr>
        <w:t>4</w:t>
      </w:r>
      <w:r>
        <w:rPr>
          <w:rFonts w:hint="eastAsia" w:hAnsi="宋体" w:cs="宋体"/>
          <w:szCs w:val="21"/>
        </w:rPr>
        <w:t>] GB/T 28843—2012 食品冷链物流追溯管理要求</w:t>
      </w:r>
    </w:p>
    <w:p>
      <w:pPr>
        <w:pStyle w:val="15"/>
        <w:rPr>
          <w:rFonts w:hint="eastAsia" w:hAnsi="宋体" w:cs="宋体"/>
          <w:szCs w:val="21"/>
        </w:rPr>
      </w:pPr>
      <w:r>
        <w:rPr>
          <w:rFonts w:hAnsi="宋体" w:cs="宋体"/>
          <w:szCs w:val="21"/>
        </w:rPr>
        <w:t>[</w:t>
      </w:r>
      <w:r>
        <w:rPr>
          <w:rFonts w:hint="eastAsia" w:hAnsi="宋体" w:cs="宋体"/>
          <w:szCs w:val="21"/>
          <w:lang w:val="en-US" w:eastAsia="zh-CN"/>
        </w:rPr>
        <w:t>5</w:t>
      </w:r>
      <w:r>
        <w:rPr>
          <w:rFonts w:hAnsi="宋体" w:cs="宋体"/>
          <w:szCs w:val="21"/>
        </w:rPr>
        <w:t>]</w:t>
      </w:r>
      <w:r>
        <w:rPr>
          <w:rFonts w:hint="eastAsia" w:hAnsi="宋体" w:cs="宋体"/>
          <w:szCs w:val="21"/>
        </w:rPr>
        <w:t xml:space="preserve"> </w:t>
      </w:r>
      <w:r>
        <w:rPr>
          <w:rFonts w:hAnsi="宋体" w:cs="宋体"/>
          <w:szCs w:val="21"/>
        </w:rPr>
        <w:t xml:space="preserve">GB/T </w:t>
      </w:r>
      <w:r>
        <w:rPr>
          <w:rFonts w:hint="eastAsia" w:hAnsi="宋体" w:cs="宋体"/>
          <w:szCs w:val="21"/>
        </w:rPr>
        <w:t>22004</w:t>
      </w:r>
      <w:r>
        <w:rPr>
          <w:rFonts w:hAnsi="宋体" w:cs="宋体"/>
          <w:szCs w:val="21"/>
        </w:rPr>
        <w:t>—20</w:t>
      </w:r>
      <w:r>
        <w:rPr>
          <w:rFonts w:hint="eastAsia" w:hAnsi="宋体" w:cs="宋体"/>
          <w:szCs w:val="21"/>
        </w:rPr>
        <w:t>07</w:t>
      </w:r>
      <w:r>
        <w:rPr>
          <w:rFonts w:hAnsi="宋体" w:cs="宋体"/>
          <w:szCs w:val="21"/>
        </w:rPr>
        <w:t xml:space="preserve"> </w:t>
      </w:r>
      <w:r>
        <w:rPr>
          <w:rFonts w:hint="eastAsia" w:hAnsi="宋体" w:cs="宋体"/>
          <w:szCs w:val="21"/>
        </w:rPr>
        <w:t>食品安全管理体系 GB/T 22000-2006的应用指南</w:t>
      </w:r>
    </w:p>
    <w:p>
      <w:pPr>
        <w:pStyle w:val="15"/>
        <w:rPr>
          <w:rFonts w:hint="default" w:hAnsi="宋体" w:cs="宋体"/>
          <w:szCs w:val="21"/>
          <w:lang w:val="en-US" w:eastAsia="zh-CN"/>
        </w:rPr>
      </w:pPr>
      <w:r>
        <w:rPr>
          <w:rFonts w:hAnsi="宋体" w:cs="宋体"/>
          <w:szCs w:val="21"/>
        </w:rPr>
        <w:t>[</w:t>
      </w:r>
      <w:r>
        <w:rPr>
          <w:rFonts w:hint="eastAsia" w:hAnsi="宋体" w:cs="宋体"/>
          <w:szCs w:val="21"/>
          <w:lang w:val="en-US" w:eastAsia="zh-CN"/>
        </w:rPr>
        <w:t>6</w:t>
      </w:r>
      <w:r>
        <w:rPr>
          <w:rFonts w:hAnsi="宋体" w:cs="宋体"/>
          <w:szCs w:val="21"/>
        </w:rPr>
        <w:t>]</w:t>
      </w:r>
      <w:r>
        <w:rPr>
          <w:rFonts w:hint="eastAsia" w:hAnsi="宋体" w:cs="宋体"/>
          <w:szCs w:val="21"/>
        </w:rPr>
        <w:t xml:space="preserve"> </w:t>
      </w:r>
      <w:r>
        <w:rPr>
          <w:rFonts w:hint="eastAsia" w:hAnsi="宋体" w:cs="宋体"/>
          <w:szCs w:val="21"/>
          <w:lang w:val="en-US" w:eastAsia="zh-CN"/>
        </w:rPr>
        <w:t>T/CFCA 0006</w:t>
      </w:r>
      <w:r>
        <w:rPr>
          <w:rFonts w:hAnsi="宋体" w:cs="宋体"/>
          <w:szCs w:val="21"/>
        </w:rPr>
        <w:t>—20</w:t>
      </w:r>
      <w:r>
        <w:rPr>
          <w:rFonts w:hint="eastAsia" w:hAnsi="宋体" w:cs="宋体"/>
          <w:szCs w:val="21"/>
          <w:lang w:val="en-US" w:eastAsia="zh-CN"/>
        </w:rPr>
        <w:t>21 食品追溯服务商评价方法</w:t>
      </w:r>
    </w:p>
    <w:p>
      <w:pPr>
        <w:pStyle w:val="15"/>
        <w:rPr>
          <w:rFonts w:hAnsi="宋体" w:cs="宋体"/>
          <w:szCs w:val="21"/>
        </w:rPr>
      </w:pPr>
    </w:p>
    <w:p>
      <w:pPr>
        <w:pStyle w:val="15"/>
        <w:rPr>
          <w:szCs w:val="21"/>
        </w:rPr>
      </w:pPr>
    </w:p>
    <w:p>
      <w:pPr>
        <w:pStyle w:val="22"/>
        <w:numPr>
          <w:ilvl w:val="0"/>
          <w:numId w:val="0"/>
        </w:numPr>
        <w:spacing w:before="156" w:after="156"/>
        <w:ind w:left="623"/>
      </w:pPr>
      <w:r>
        <mc:AlternateContent>
          <mc:Choice Requires="wps">
            <w:drawing>
              <wp:anchor distT="0" distB="0" distL="114300" distR="114300" simplePos="0" relativeHeight="251664384" behindDoc="0" locked="0" layoutInCell="1" allowOverlap="1">
                <wp:simplePos x="0" y="0"/>
                <wp:positionH relativeFrom="column">
                  <wp:posOffset>2512060</wp:posOffset>
                </wp:positionH>
                <wp:positionV relativeFrom="paragraph">
                  <wp:posOffset>684530</wp:posOffset>
                </wp:positionV>
                <wp:extent cx="1181100"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11811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97.8pt;margin-top:53.9pt;height:0pt;width:93pt;z-index:251664384;mso-width-relative:page;mso-height-relative:page;" filled="f" stroked="t" coordsize="21600,21600" o:gfxdata="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CZEoNU1wAAAAsBAAAPAAAAAAAA&#10;AAEAIAAAADgAAABkcnMvZG93bnJldi54bWxQSwECFAAUAAAACACHTuJAgobwff0BAADsAwAADgAA&#10;AAAAAAABACAAAAA8AQAAZHJzL2Uyb0RvYy54bWxQSwUGAAAAAAYABgBZAQAAqwUAAAAA&#10;">
                <v:fill on="f" focussize="0,0"/>
                <v:stroke color="#000000" joinstyle="round"/>
                <v:imagedata o:title=""/>
                <o:lock v:ext="edit" aspectratio="f"/>
              </v:shape>
            </w:pict>
          </mc:Fallback>
        </mc:AlternateContent>
      </w:r>
    </w:p>
    <w:p/>
    <w:sectPr>
      <w:footerReference r:id="rId10" w:type="default"/>
      <w:pgSz w:w="11906" w:h="16838"/>
      <w:pgMar w:top="567" w:right="1134" w:bottom="1134" w:left="1418" w:header="1418" w:footer="1134" w:gutter="0"/>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PMingLiUfalt">
    <w:altName w:val="宋体-繁"/>
    <w:panose1 w:val="00000000000000000000"/>
    <w:charset w:val="88"/>
    <w:family w:val="auto"/>
    <w:pitch w:val="default"/>
    <w:sig w:usb0="00000000" w:usb1="00000000" w:usb2="00000010" w:usb3="00000000" w:csb0="00100000" w:csb1="00000000"/>
  </w:font>
  <w:font w:name="宋体-繁">
    <w:panose1 w:val="02010600040101010101"/>
    <w:charset w:val="86"/>
    <w:family w:val="auto"/>
    <w:pitch w:val="default"/>
    <w:sig w:usb0="00000000" w:usb1="00000000" w:usb2="00000000" w:usb3="00000000" w:csb0="00160000" w:csb1="00000000"/>
  </w:font>
  <w:font w:name="宋体@...葀.">
    <w:altName w:val="汉仪书宋二KW"/>
    <w:panose1 w:val="00000000000000000000"/>
    <w:charset w:val="86"/>
    <w:family w:val="roman"/>
    <w:pitch w:val="default"/>
    <w:sig w:usb0="00000000" w:usb1="00000000" w:usb2="00000010" w:usb3="00000000" w:csb0="00040000" w:csb1="00000000"/>
  </w:font>
  <w:font w:name="儷宋 Pro">
    <w:panose1 w:val="0202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rStyle w:val="9"/>
      </w:rPr>
    </w:pPr>
    <w:r>
      <w:rPr>
        <w:rStyle w:val="9"/>
      </w:rPr>
      <w:fldChar w:fldCharType="begin"/>
    </w:r>
    <w:r>
      <w:rPr>
        <w:rStyle w:val="9"/>
      </w:rPr>
      <w:instrText xml:space="preserve">PAGE  </w:instrText>
    </w:r>
    <w:r>
      <w:rPr>
        <w:rStyle w:val="9"/>
      </w:rPr>
      <w:fldChar w:fldCharType="separate"/>
    </w:r>
    <w:r>
      <w:rPr>
        <w:rStyle w:val="9"/>
      </w:rPr>
      <w:t>III</w:t>
    </w:r>
    <w:r>
      <w:rPr>
        <w:rStyle w:val="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rStyle w:val="9"/>
      </w:rPr>
    </w:pPr>
    <w:r>
      <w:rPr>
        <w:rStyle w:val="9"/>
      </w:rPr>
      <w:fldChar w:fldCharType="begin"/>
    </w:r>
    <w:r>
      <w:rPr>
        <w:rStyle w:val="9"/>
      </w:rPr>
      <w:instrText xml:space="preserve">PAGE  </w:instrText>
    </w:r>
    <w:r>
      <w:rPr>
        <w:rStyle w:val="9"/>
      </w:rPr>
      <w:fldChar w:fldCharType="separate"/>
    </w:r>
    <w:r>
      <w:rPr>
        <w:rStyle w:val="9"/>
      </w:rPr>
      <w:t>II</w:t>
    </w:r>
    <w:r>
      <w:rPr>
        <w:rStyle w:val="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I</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s0lY7tAAAAAFAQAA&#10;DwAAAAAAAAABACAAAAA4AAAAZHJzL2Rvd25yZXYueG1sUEsBAhQAFAAAAAgAh07iQHrYm6LSAQAA&#10;ogMAAA4AAAAAAAAAAQAgAAAANQEAAGRycy9lMm9Eb2MueG1sUEsFBgAAAAAGAAYAWQEAAHkFAAAA&#10;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zSVju0AAAAAUBAAAP&#10;AAAAAAAAAAEAIAAAADgAAABkcnMvZG93bnJldi54bWxQSwECFAAUAAAACACHTuJA5/RE3tEBAACi&#10;AwAADgAAAAAAAAABACAAAAA1AQAAZHJzL2Uyb0RvYy54bWxQSwUGAAAAAAYABgBZAQAAeAUAAAAA&#10;">
              <v:fill on="f" focussize="0,0"/>
              <v:stroke on="f" weight="0.5pt"/>
              <v:imagedata o:title=""/>
              <o:lock v:ext="edit" aspectratio="f"/>
              <v:textbox inset="0mm,0mm,0mm,0mm" style="mso-fit-shape-to-text:t;">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II</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s0lY7tAAAAAFAQAA&#10;DwAAAAAAAAABACAAAAA4AAAAZHJzL2Rvd25yZXYueG1sUEsBAhQAFAAAAAgAh07iQECBJVvSAQAA&#10;ogMAAA4AAAAAAAAAAQAgAAAANQEAAGRycy9lMm9Eb2MueG1sUEsFBgAAAAAGAAYAWQEAAHkFAAAA&#10;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II</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s0lY7tAAAAAFAQAA&#10;DwAAAAAAAAABACAAAAA4AAAAZHJzL2Rvd25yZXYueG1sUEsBAhQAFAAAAAgAh07iQN2t+ifSAQAA&#10;ogMAAA4AAAAAAAAAAQAgAAAANQEAAGRycy9lMm9Eb2MueG1sUEsFBgAAAAAGAAYAWQEAAHkFAAAA&#10;AA==&#10;">
              <v:fill on="f" focussize="0,0"/>
              <v:stroke on="f" weight="0.5pt"/>
              <v:imagedata o:title=""/>
              <o:lock v:ext="edit" aspectratio="f"/>
              <v:textbox inset="0mm,0mm,0mm,0mm" style="mso-fit-shape-to-text:t;">
                <w:txbxConten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11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s0lY7tAAAAAFAQAA&#10;DwAAAAAAAAABACAAAAA4AAAAZHJzL2Rvd25yZXYueG1sUEsBAhQAFAAAAAgAh07iQNJASfbSAQAA&#10;ogMAAA4AAAAAAAAAAQAgAAAANQEAAGRycy9lMm9Eb2MueG1sUEsFBgAAAAAGAAYAWQEAAHkFAAAA&#10;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11</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zSVju0AAAAAUBAAAP&#10;AAAAAAAAAAEAIAAAADgAAABkcnMvZG93bnJldi54bWxQSwECFAAUAAAACACHTuJAdTUoc9EBAACi&#10;AwAADgAAAAAAAAABACAAAAA1AQAAZHJzL2Uyb0RvYy54bWxQSwUGAAAAAAYABgBZAQAAeAUAAAAA&#10;">
              <v:fill on="f" focussize="0,0"/>
              <v:stroke on="f" weight="0.5pt"/>
              <v:imagedata o:title=""/>
              <o:lock v:ext="edit" aspectratio="f"/>
              <v:textbox inset="0mm,0mm,0mm,0mm" style="mso-fit-shape-to-text:t;">
                <w:txbxConten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GS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GS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right"/>
      <w:rPr>
        <w:rFonts w:ascii="黑体" w:eastAsia="黑体"/>
      </w:rPr>
    </w:pPr>
    <w:r>
      <w:rPr>
        <w:rFonts w:ascii="黑体" w:eastAsia="黑体"/>
      </w:rPr>
      <w:t>T/CFCA0006</w:t>
    </w:r>
    <w:r>
      <w:rPr>
        <w:rFonts w:hint="eastAsia" w:ascii="黑体" w:eastAsia="黑体"/>
      </w:rPr>
      <w:t>－</w:t>
    </w:r>
    <w:r>
      <w:rPr>
        <w:rFonts w:ascii="黑体" w:eastAsia="黑体"/>
      </w:rPr>
      <w:t>202</w:t>
    </w:r>
    <w:r>
      <w:rPr>
        <w:rFonts w:hint="eastAsia" w:ascii="黑体" w:eastAsia="黑体"/>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7"/>
      <w:suff w:val="nothing"/>
      <w:lvlText w:val="%1　"/>
      <w:lvlJc w:val="left"/>
      <w:pPr>
        <w:ind w:left="568"/>
      </w:pPr>
      <w:rPr>
        <w:rFonts w:hint="eastAsia" w:ascii="黑体" w:hAnsi="Times New Roman" w:eastAsia="黑体" w:cs="Times New Roman"/>
        <w:b w:val="0"/>
        <w:i w:val="0"/>
        <w:sz w:val="21"/>
        <w:szCs w:val="21"/>
      </w:rPr>
    </w:lvl>
    <w:lvl w:ilvl="1" w:tentative="0">
      <w:start w:val="1"/>
      <w:numFmt w:val="decimal"/>
      <w:pStyle w:val="18"/>
      <w:suff w:val="nothing"/>
      <w:lvlText w:val="%1.%2　"/>
      <w:lvlJc w:val="left"/>
      <w:pPr>
        <w:ind w:left="568"/>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pStyle w:val="20"/>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
    <w:nsid w:val="2A8F7113"/>
    <w:multiLevelType w:val="multilevel"/>
    <w:tmpl w:val="2A8F7113"/>
    <w:lvl w:ilvl="0" w:tentative="0">
      <w:start w:val="1"/>
      <w:numFmt w:val="upperLetter"/>
      <w:suff w:val="space"/>
      <w:lvlText w:val="%1"/>
      <w:lvlJc w:val="left"/>
      <w:pPr>
        <w:ind w:left="623" w:hanging="425"/>
      </w:pPr>
      <w:rPr>
        <w:rFonts w:hint="eastAsia" w:cs="Times New Roman"/>
      </w:rPr>
    </w:lvl>
    <w:lvl w:ilvl="1" w:tentative="0">
      <w:start w:val="1"/>
      <w:numFmt w:val="decimal"/>
      <w:pStyle w:val="22"/>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OWM1ZWVkN2VkYWUwMTk3MjdjY2YwZDcyYWUzMTkifQ=="/>
  </w:docVars>
  <w:rsids>
    <w:rsidRoot w:val="4AFE40C1"/>
    <w:rsid w:val="000123DF"/>
    <w:rsid w:val="000F7B8B"/>
    <w:rsid w:val="00130548"/>
    <w:rsid w:val="00172FF0"/>
    <w:rsid w:val="00616822"/>
    <w:rsid w:val="007C4FB7"/>
    <w:rsid w:val="00863542"/>
    <w:rsid w:val="009D73EA"/>
    <w:rsid w:val="00A41968"/>
    <w:rsid w:val="00A63B36"/>
    <w:rsid w:val="00EE7D7A"/>
    <w:rsid w:val="00FB26C6"/>
    <w:rsid w:val="03D270B5"/>
    <w:rsid w:val="0A0D3728"/>
    <w:rsid w:val="0E686F94"/>
    <w:rsid w:val="1C0B53D5"/>
    <w:rsid w:val="2B8B250D"/>
    <w:rsid w:val="2FE64DFC"/>
    <w:rsid w:val="30490D9D"/>
    <w:rsid w:val="334B3E6D"/>
    <w:rsid w:val="39861EF9"/>
    <w:rsid w:val="3D821AD7"/>
    <w:rsid w:val="479D60F5"/>
    <w:rsid w:val="4AF1415C"/>
    <w:rsid w:val="4AFE40C1"/>
    <w:rsid w:val="4B2B6DA4"/>
    <w:rsid w:val="55F66200"/>
    <w:rsid w:val="58117322"/>
    <w:rsid w:val="5F775CBC"/>
    <w:rsid w:val="68D52601"/>
    <w:rsid w:val="70431BDB"/>
    <w:rsid w:val="798412AA"/>
    <w:rsid w:val="7A5C128D"/>
    <w:rsid w:val="7DFF6643"/>
    <w:rsid w:val="FDFA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Balloon Text"/>
    <w:basedOn w:val="1"/>
    <w:link w:val="37"/>
    <w:qFormat/>
    <w:uiPriority w:val="0"/>
    <w:rPr>
      <w:sz w:val="18"/>
      <w:szCs w:val="18"/>
    </w:rPr>
  </w:style>
  <w:style w:type="paragraph" w:styleId="4">
    <w:name w:val="footer"/>
    <w:basedOn w:val="1"/>
    <w:qFormat/>
    <w:uiPriority w:val="99"/>
    <w:pPr>
      <w:snapToGrid w:val="0"/>
      <w:ind w:right="210" w:rightChars="100"/>
      <w:jc w:val="righ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99"/>
    <w:pPr>
      <w:tabs>
        <w:tab w:val="right" w:leader="dot" w:pos="9241"/>
      </w:tabs>
      <w:spacing w:beforeLines="25" w:afterLines="25"/>
      <w:jc w:val="left"/>
    </w:pPr>
    <w:rPr>
      <w:rFonts w:ascii="宋体"/>
      <w:szCs w:val="21"/>
    </w:rPr>
  </w:style>
  <w:style w:type="character" w:styleId="9">
    <w:name w:val="page number"/>
    <w:basedOn w:val="8"/>
    <w:qFormat/>
    <w:uiPriority w:val="99"/>
    <w:rPr>
      <w:rFonts w:ascii="Times New Roman" w:hAnsi="Times New Roman" w:eastAsia="宋体" w:cs="Times New Roman"/>
      <w:sz w:val="18"/>
    </w:rPr>
  </w:style>
  <w:style w:type="paragraph" w:customStyle="1" w:styleId="10">
    <w:name w:val="其他实施日期"/>
    <w:basedOn w:val="11"/>
    <w:qFormat/>
    <w:uiPriority w:val="99"/>
    <w:pPr>
      <w:framePr w:wrap="around"/>
    </w:pPr>
  </w:style>
  <w:style w:type="paragraph" w:customStyle="1" w:styleId="11">
    <w:name w:val="实施日期"/>
    <w:basedOn w:val="12"/>
    <w:qFormat/>
    <w:uiPriority w:val="99"/>
    <w:pPr>
      <w:framePr w:wrap="around" w:vAnchor="page" w:hAnchor="text"/>
      <w:jc w:val="right"/>
    </w:pPr>
  </w:style>
  <w:style w:type="paragraph" w:customStyle="1" w:styleId="12">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3">
    <w:name w:val="封面正文"/>
    <w:qFormat/>
    <w:uiPriority w:val="99"/>
    <w:pPr>
      <w:jc w:val="both"/>
    </w:pPr>
    <w:rPr>
      <w:rFonts w:ascii="Times New Roman" w:hAnsi="Times New Roman" w:eastAsia="宋体" w:cs="Times New Roman"/>
      <w:lang w:val="en-US" w:eastAsia="zh-CN" w:bidi="ar-SA"/>
    </w:rPr>
  </w:style>
  <w:style w:type="paragraph" w:customStyle="1" w:styleId="14">
    <w:name w:val="目次、标准名称标题"/>
    <w:basedOn w:val="1"/>
    <w:next w:val="15"/>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前言、引言标题"/>
    <w:next w:val="15"/>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7">
    <w:name w:val="章标题"/>
    <w:next w:val="15"/>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一级条标题"/>
    <w:next w:val="15"/>
    <w:qFormat/>
    <w:uiPriority w:val="99"/>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9">
    <w:name w:val="Body text|2"/>
    <w:basedOn w:val="1"/>
    <w:qFormat/>
    <w:uiPriority w:val="99"/>
    <w:pPr>
      <w:shd w:val="clear" w:color="auto" w:fill="FFFFFF"/>
      <w:spacing w:line="314" w:lineRule="exact"/>
      <w:ind w:hanging="420"/>
    </w:pPr>
    <w:rPr>
      <w:rFonts w:ascii="PMingLiUfalt" w:hAnsi="PMingLiUfalt" w:eastAsia="PMingLiUfalt" w:cs="PMingLiUfalt"/>
      <w:sz w:val="19"/>
      <w:szCs w:val="19"/>
    </w:rPr>
  </w:style>
  <w:style w:type="paragraph" w:customStyle="1" w:styleId="20">
    <w:name w:val="二级条标题"/>
    <w:basedOn w:val="18"/>
    <w:next w:val="15"/>
    <w:qFormat/>
    <w:uiPriority w:val="99"/>
    <w:pPr>
      <w:numPr>
        <w:ilvl w:val="2"/>
      </w:numPr>
      <w:spacing w:before="50" w:after="50"/>
      <w:outlineLvl w:val="3"/>
    </w:pPr>
  </w:style>
  <w:style w:type="paragraph" w:customStyle="1" w:styleId="21">
    <w:name w:val="参考文献"/>
    <w:basedOn w:val="1"/>
    <w:next w:val="15"/>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22">
    <w:name w:val="附录图标题"/>
    <w:basedOn w:val="1"/>
    <w:next w:val="15"/>
    <w:qFormat/>
    <w:uiPriority w:val="99"/>
    <w:pPr>
      <w:numPr>
        <w:ilvl w:val="1"/>
        <w:numId w:val="2"/>
      </w:numPr>
      <w:tabs>
        <w:tab w:val="left" w:pos="363"/>
      </w:tabs>
      <w:spacing w:beforeLines="50" w:afterLines="50"/>
      <w:ind w:left="0" w:firstLine="0"/>
      <w:jc w:val="center"/>
    </w:pPr>
    <w:rPr>
      <w:rFonts w:ascii="黑体" w:eastAsia="黑体"/>
      <w:szCs w:val="21"/>
    </w:rPr>
  </w:style>
  <w:style w:type="paragraph" w:customStyle="1" w:styleId="23">
    <w:name w:val="其他发布部门"/>
    <w:basedOn w:val="24"/>
    <w:qFormat/>
    <w:uiPriority w:val="99"/>
    <w:pPr>
      <w:framePr w:wrap="around" w:y="15310"/>
      <w:spacing w:line="240" w:lineRule="atLeast"/>
    </w:pPr>
    <w:rPr>
      <w:rFonts w:ascii="黑体" w:eastAsia="黑体"/>
      <w:b w:val="0"/>
    </w:rPr>
  </w:style>
  <w:style w:type="paragraph" w:customStyle="1" w:styleId="24">
    <w:name w:val="发布部门"/>
    <w:next w:val="15"/>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character" w:customStyle="1" w:styleId="25">
    <w:name w:val="发布"/>
    <w:qFormat/>
    <w:uiPriority w:val="99"/>
    <w:rPr>
      <w:rFonts w:ascii="黑体" w:eastAsia="黑体"/>
      <w:spacing w:val="85"/>
      <w:w w:val="100"/>
      <w:position w:val="3"/>
      <w:sz w:val="28"/>
    </w:rPr>
  </w:style>
  <w:style w:type="paragraph" w:customStyle="1" w:styleId="26">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27">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8">
    <w:name w:val="封面标准英文名称"/>
    <w:basedOn w:val="29"/>
    <w:qFormat/>
    <w:uiPriority w:val="99"/>
    <w:pPr>
      <w:framePr w:wrap="around"/>
      <w:spacing w:before="370" w:line="400" w:lineRule="exact"/>
    </w:pPr>
    <w:rPr>
      <w:rFonts w:ascii="Times New Roman"/>
      <w:sz w:val="28"/>
      <w:szCs w:val="28"/>
    </w:rPr>
  </w:style>
  <w:style w:type="paragraph" w:customStyle="1" w:styleId="29">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0">
    <w:name w:val="封面一致性程度标识"/>
    <w:basedOn w:val="28"/>
    <w:qFormat/>
    <w:uiPriority w:val="99"/>
    <w:pPr>
      <w:framePr w:wrap="around"/>
      <w:spacing w:before="440"/>
    </w:pPr>
    <w:rPr>
      <w:rFonts w:ascii="宋体" w:eastAsia="宋体"/>
    </w:rPr>
  </w:style>
  <w:style w:type="paragraph" w:customStyle="1" w:styleId="31">
    <w:name w:val="封面标准文稿编辑信息"/>
    <w:basedOn w:val="32"/>
    <w:qFormat/>
    <w:uiPriority w:val="99"/>
    <w:pPr>
      <w:framePr w:wrap="around"/>
      <w:spacing w:before="180" w:line="180" w:lineRule="exact"/>
    </w:pPr>
    <w:rPr>
      <w:sz w:val="21"/>
    </w:rPr>
  </w:style>
  <w:style w:type="paragraph" w:customStyle="1" w:styleId="32">
    <w:name w:val="封面标准文稿类别"/>
    <w:basedOn w:val="30"/>
    <w:qFormat/>
    <w:uiPriority w:val="99"/>
    <w:pPr>
      <w:framePr w:wrap="around"/>
      <w:spacing w:after="160" w:line="240" w:lineRule="auto"/>
    </w:pPr>
    <w:rPr>
      <w:sz w:val="24"/>
    </w:rPr>
  </w:style>
  <w:style w:type="paragraph" w:customStyle="1" w:styleId="33">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4">
    <w:name w:val="标准书眉_偶数页"/>
    <w:basedOn w:val="33"/>
    <w:next w:val="1"/>
    <w:qFormat/>
    <w:uiPriority w:val="99"/>
    <w:pPr>
      <w:jc w:val="left"/>
    </w:pPr>
  </w:style>
  <w:style w:type="paragraph" w:customStyle="1" w:styleId="35">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6">
    <w:name w:val="标准书脚_偶数页"/>
    <w:qFormat/>
    <w:uiPriority w:val="99"/>
    <w:pPr>
      <w:spacing w:before="120"/>
      <w:ind w:left="221"/>
    </w:pPr>
    <w:rPr>
      <w:rFonts w:ascii="宋体" w:hAnsi="Times New Roman" w:eastAsia="宋体" w:cs="Times New Roman"/>
      <w:sz w:val="18"/>
      <w:szCs w:val="18"/>
      <w:lang w:val="en-US" w:eastAsia="zh-CN" w:bidi="ar-SA"/>
    </w:rPr>
  </w:style>
  <w:style w:type="character" w:customStyle="1" w:styleId="37">
    <w:name w:val="批注框文本 字符"/>
    <w:basedOn w:val="8"/>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2696</Words>
  <Characters>3150</Characters>
  <Lines>29</Lines>
  <Paragraphs>8</Paragraphs>
  <TotalTime>5</TotalTime>
  <ScaleCrop>false</ScaleCrop>
  <LinksUpToDate>false</LinksUpToDate>
  <CharactersWithSpaces>3228</CharactersWithSpaces>
  <Application>WPS Office_5.4.0.7910_F1E327BC-269C-435d-A152-05C5408002CA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2021-12-23T15:22:00Z</dcterms:created>
  <dc:creator>Febe-v-</dc:creator>
  <cp:lastModifiedBy>弃阁主人</cp:lastModifiedBy>
  <dcterms:modified xsi:type="dcterms:W3CDTF">2023-05-09T16:42:44Z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2052-5.4.0.7910</vt:lpwstr>
  </property>
  <property fmtid="{D5CDD505-2E9C-101B-9397-08002B2CF9AE}" pid="3" name="ICV">
    <vt:lpwstr>DFDCD97BA3E24AA8B979A794E085A5D9_13</vt:lpwstr>
  </property>
</Properties>
</file>